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08AF" w14:textId="2E51AC17" w:rsidR="00BC044B" w:rsidRPr="00703EEA" w:rsidRDefault="004A6413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SVEUČILIŠTE U RIJECI</w:t>
      </w:r>
    </w:p>
    <w:p w14:paraId="0E43C966" w14:textId="37F0EEDD" w:rsidR="004A6413" w:rsidRPr="00703EEA" w:rsidRDefault="004A6413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 xml:space="preserve">GRAĐEVINSKI FAKULTET </w:t>
      </w:r>
    </w:p>
    <w:p w14:paraId="31085C5E" w14:textId="3A4C77AE" w:rsidR="004A6413" w:rsidRPr="00703EEA" w:rsidRDefault="004A6413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OIB 32037849504</w:t>
      </w:r>
    </w:p>
    <w:p w14:paraId="22983371" w14:textId="76752A85" w:rsidR="004A6413" w:rsidRDefault="004A6413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RKP 2160</w:t>
      </w:r>
    </w:p>
    <w:p w14:paraId="07ED1EC4" w14:textId="1F774F70" w:rsidR="00784AC6" w:rsidRPr="00703EEA" w:rsidRDefault="0078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 25. ožujka 2024.</w:t>
      </w:r>
    </w:p>
    <w:p w14:paraId="103B7285" w14:textId="53A51C93" w:rsidR="004A6413" w:rsidRPr="00703EEA" w:rsidRDefault="004A6413">
      <w:pPr>
        <w:rPr>
          <w:rFonts w:ascii="Times New Roman" w:hAnsi="Times New Roman" w:cs="Times New Roman"/>
          <w:sz w:val="24"/>
          <w:szCs w:val="24"/>
        </w:rPr>
      </w:pPr>
    </w:p>
    <w:p w14:paraId="00461F74" w14:textId="1D3155C6" w:rsidR="004A6413" w:rsidRPr="00703EEA" w:rsidRDefault="004A6413">
      <w:pPr>
        <w:rPr>
          <w:rFonts w:ascii="Times New Roman" w:hAnsi="Times New Roman" w:cs="Times New Roman"/>
          <w:sz w:val="24"/>
          <w:szCs w:val="24"/>
        </w:rPr>
      </w:pPr>
    </w:p>
    <w:p w14:paraId="08B43BFD" w14:textId="056E1D79" w:rsidR="004A6413" w:rsidRPr="00703EEA" w:rsidRDefault="004A6413">
      <w:pPr>
        <w:rPr>
          <w:rFonts w:ascii="Times New Roman" w:hAnsi="Times New Roman" w:cs="Times New Roman"/>
          <w:sz w:val="24"/>
          <w:szCs w:val="24"/>
        </w:rPr>
      </w:pPr>
    </w:p>
    <w:p w14:paraId="6C6D6626" w14:textId="00C923B8" w:rsidR="004A6413" w:rsidRPr="00703EEA" w:rsidRDefault="004A6413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POSEBNI IZVJEŠTAJ UZ IZVJEŠTAJ O IZVRŠENJU FINANCIJSKOG PLANA ZA 2023. GODINU</w:t>
      </w:r>
    </w:p>
    <w:p w14:paraId="3F6C0257" w14:textId="2DA29BCC" w:rsidR="004A6413" w:rsidRPr="00703EEA" w:rsidRDefault="004A6413">
      <w:pPr>
        <w:rPr>
          <w:rFonts w:ascii="Times New Roman" w:hAnsi="Times New Roman" w:cs="Times New Roman"/>
          <w:sz w:val="24"/>
          <w:szCs w:val="24"/>
        </w:rPr>
      </w:pPr>
    </w:p>
    <w:p w14:paraId="41621358" w14:textId="77777777" w:rsidR="004A6413" w:rsidRPr="00703EEA" w:rsidRDefault="004A6413" w:rsidP="004A64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IZVJEŠTAJ O ZADUŽIVANJU NA DOMAĆEM I STRANOM TRŽIŠTU KAPITALA</w:t>
      </w:r>
    </w:p>
    <w:p w14:paraId="649AAE86" w14:textId="0E75777D" w:rsidR="004A6413" w:rsidRPr="00703EEA" w:rsidRDefault="004A6413" w:rsidP="004A6413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Tijekom 2023. godine  Građevinski fakultet nije se zaduživao na domaćem i stranom tržištu kapitala.</w:t>
      </w:r>
    </w:p>
    <w:p w14:paraId="4B75AFCE" w14:textId="7CE650EB" w:rsidR="004A6413" w:rsidRPr="00703EEA" w:rsidRDefault="004A6413" w:rsidP="004A6413">
      <w:pPr>
        <w:rPr>
          <w:rFonts w:ascii="Times New Roman" w:hAnsi="Times New Roman" w:cs="Times New Roman"/>
          <w:sz w:val="24"/>
          <w:szCs w:val="24"/>
        </w:rPr>
      </w:pPr>
    </w:p>
    <w:p w14:paraId="2ABB3478" w14:textId="742995FB" w:rsidR="004A6413" w:rsidRPr="00703EEA" w:rsidRDefault="004A6413" w:rsidP="004A64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IZVJEŠTAJ O KORIŠTENJU SREDSTAVA FONDOVA EUROPSKE UNIJE</w:t>
      </w:r>
    </w:p>
    <w:p w14:paraId="7A6BBA69" w14:textId="1499A4EA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</w:p>
    <w:p w14:paraId="07D76F47" w14:textId="77777777" w:rsidR="007F3C4A" w:rsidRPr="00703EEA" w:rsidRDefault="007F3C4A" w:rsidP="007F3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3EEA">
        <w:rPr>
          <w:rFonts w:ascii="Times New Roman" w:hAnsi="Times New Roman" w:cs="Times New Roman"/>
          <w:sz w:val="24"/>
          <w:szCs w:val="24"/>
        </w:rPr>
        <w:t xml:space="preserve">Izvještaj o korištenju sredstava fondova Europske Unije za 2023. godinu izrađen je koristeći metodologiju modificiranog gotovinskog načela, kao i Upute za planiranje i računovodstveno evidentiranje prihoda i rashoda iz EU. </w:t>
      </w:r>
      <w:r w:rsidRPr="00703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pomoći od institucija i tijela EU i pomoći iz državnog proračuna temeljem prijenosa EU sredstava (tekuće i kapitalne) kojima se po metodi pojednostavljenih troškova </w:t>
      </w:r>
      <w:r w:rsidRPr="0070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(simplified cost option) </w:t>
      </w:r>
      <w:r w:rsidRPr="00703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financiraju programi i projekti priznati su u prihode izvještajnog razdoblja u kojemu su postali raspoloživi sukladno čl. 67. Pravilnika o proračunskom računovodstvu i Računskom planu. </w:t>
      </w:r>
    </w:p>
    <w:p w14:paraId="6ED4A03A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EEA">
        <w:rPr>
          <w:rFonts w:ascii="Times New Roman" w:eastAsia="Times New Roman" w:hAnsi="Times New Roman" w:cs="Times New Roman"/>
          <w:sz w:val="24"/>
          <w:szCs w:val="24"/>
          <w:lang w:eastAsia="en-GB"/>
        </w:rPr>
        <w:t>Na dan 31.12.2023. Fakultet nema evidentirane obveze za primljene predujmove iz fondova EU.</w:t>
      </w:r>
    </w:p>
    <w:p w14:paraId="6E13BC11" w14:textId="77777777" w:rsidR="007F3C4A" w:rsidRPr="00703EEA" w:rsidRDefault="007F3C4A" w:rsidP="007F3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2C0B4" w14:textId="77777777" w:rsidR="007F3C4A" w:rsidRPr="00703EEA" w:rsidRDefault="007F3C4A" w:rsidP="007F3C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EEA">
        <w:rPr>
          <w:rFonts w:ascii="Times New Roman" w:hAnsi="Times New Roman" w:cs="Times New Roman"/>
          <w:b/>
          <w:sz w:val="24"/>
          <w:szCs w:val="24"/>
        </w:rPr>
        <w:t>Pregled podataka o evidentiranim prihodima i rashodima po fondovima Europske unije u 2023. godini izgleda kako slijedi: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1"/>
        <w:gridCol w:w="1084"/>
        <w:gridCol w:w="1117"/>
      </w:tblGrid>
      <w:tr w:rsidR="007F3C4A" w:rsidRPr="00703EEA" w14:paraId="513E343B" w14:textId="77777777" w:rsidTr="00227560">
        <w:trPr>
          <w:trHeight w:val="367"/>
        </w:trPr>
        <w:tc>
          <w:tcPr>
            <w:tcW w:w="3174" w:type="pct"/>
            <w:shd w:val="clear" w:color="auto" w:fill="FFFFCC"/>
            <w:noWrap/>
            <w:vAlign w:val="bottom"/>
          </w:tcPr>
          <w:p w14:paraId="7E477BD9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6691487"/>
            <w:bookmarkStart w:id="1" w:name="_Hlk1481681"/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FONDOVI Europske unije/projekti</w:t>
            </w:r>
          </w:p>
        </w:tc>
        <w:tc>
          <w:tcPr>
            <w:tcW w:w="904" w:type="pct"/>
            <w:shd w:val="clear" w:color="auto" w:fill="FFFFCC"/>
          </w:tcPr>
          <w:p w14:paraId="17673875" w14:textId="77777777" w:rsidR="007F3C4A" w:rsidRPr="00703EEA" w:rsidRDefault="007F3C4A" w:rsidP="002275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</w:p>
        </w:tc>
        <w:tc>
          <w:tcPr>
            <w:tcW w:w="922" w:type="pct"/>
            <w:shd w:val="clear" w:color="auto" w:fill="FFFFCC"/>
            <w:noWrap/>
            <w:vAlign w:val="center"/>
          </w:tcPr>
          <w:p w14:paraId="6DEDA775" w14:textId="77777777" w:rsidR="007F3C4A" w:rsidRPr="00703EEA" w:rsidRDefault="007F3C4A" w:rsidP="002275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</w:tr>
      <w:tr w:rsidR="007F3C4A" w:rsidRPr="00703EEA" w14:paraId="7908DC74" w14:textId="77777777" w:rsidTr="00227560">
        <w:trPr>
          <w:trHeight w:val="367"/>
        </w:trPr>
        <w:tc>
          <w:tcPr>
            <w:tcW w:w="3174" w:type="pct"/>
            <w:shd w:val="clear" w:color="auto" w:fill="FFFFCC"/>
            <w:noWrap/>
            <w:vAlign w:val="bottom"/>
          </w:tcPr>
          <w:p w14:paraId="5A6697AB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Erasmus+</w:t>
            </w:r>
          </w:p>
        </w:tc>
        <w:tc>
          <w:tcPr>
            <w:tcW w:w="904" w:type="pct"/>
            <w:shd w:val="clear" w:color="auto" w:fill="FFFFCC"/>
          </w:tcPr>
          <w:p w14:paraId="2CD56BF7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34.454</w:t>
            </w:r>
          </w:p>
        </w:tc>
        <w:tc>
          <w:tcPr>
            <w:tcW w:w="922" w:type="pct"/>
            <w:shd w:val="clear" w:color="auto" w:fill="FFFFCC"/>
            <w:noWrap/>
            <w:vAlign w:val="center"/>
          </w:tcPr>
          <w:p w14:paraId="129BAB57" w14:textId="42E5DCC0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210E">
              <w:rPr>
                <w:rFonts w:ascii="Times New Roman" w:hAnsi="Times New Roman" w:cs="Times New Roman"/>
                <w:b/>
                <w:sz w:val="24"/>
                <w:szCs w:val="24"/>
              </w:rPr>
              <w:t>1.006</w:t>
            </w:r>
          </w:p>
        </w:tc>
      </w:tr>
      <w:bookmarkEnd w:id="0"/>
      <w:tr w:rsidR="007F3C4A" w:rsidRPr="00703EEA" w14:paraId="15A70D95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3FE42A7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The Career Garden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4FEBE4" w14:textId="77777777" w:rsidR="007F3C4A" w:rsidRPr="00703EEA" w:rsidRDefault="007F3C4A" w:rsidP="00227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4.474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11960E6" w14:textId="6CB40C81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C210E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7F3C4A" w:rsidRPr="00703EEA" w14:paraId="098122C7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4C0BF2E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OPEN GLASSROOM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732E70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AC959A7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3.079</w:t>
            </w:r>
          </w:p>
        </w:tc>
      </w:tr>
      <w:tr w:rsidR="007F3C4A" w:rsidRPr="00703EEA" w14:paraId="0785F9BC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A1FEE3B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XRGREEN.CON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032146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16.980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1208472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4A" w:rsidRPr="00703EEA" w14:paraId="0B7AB0AB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14:paraId="39CA5F90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Konkuretnost i kohezija 2014.-2020.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C0EEFB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105.422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B9CDA97" w14:textId="0A0E4E9E" w:rsidR="007F3C4A" w:rsidRPr="00703EEA" w:rsidRDefault="005C210E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89.252</w:t>
            </w:r>
          </w:p>
        </w:tc>
      </w:tr>
      <w:tr w:rsidR="007F3C4A" w:rsidRPr="00703EEA" w14:paraId="59894051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CD8537A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Pregotovljene zgrade nulte energije proizvedene na industrijski način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077AD7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55.323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40045F9" w14:textId="10341CDE" w:rsidR="007F3C4A" w:rsidRPr="00703EEA" w:rsidRDefault="005C210E" w:rsidP="00227560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40.047</w:t>
            </w:r>
          </w:p>
        </w:tc>
      </w:tr>
      <w:tr w:rsidR="007F3C4A" w:rsidRPr="00703EEA" w14:paraId="5BD1B4F8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1753B9F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PRI-MJER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7CEE39" w14:textId="77777777" w:rsidR="007F3C4A" w:rsidRPr="00703EEA" w:rsidRDefault="007F3C4A" w:rsidP="00227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22.492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8CBC1AC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15.213</w:t>
            </w:r>
          </w:p>
        </w:tc>
      </w:tr>
      <w:tr w:rsidR="007F3C4A" w:rsidRPr="00703EEA" w14:paraId="69B1ABC2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718693F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UKV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8A5B46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18.849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CDC478C" w14:textId="627CB8AB" w:rsidR="007F3C4A" w:rsidRPr="00703EEA" w:rsidRDefault="005C210E" w:rsidP="005C210E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4.380</w:t>
            </w:r>
          </w:p>
        </w:tc>
      </w:tr>
      <w:tr w:rsidR="007F3C4A" w:rsidRPr="00703EEA" w14:paraId="24A02752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01732E0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ZACJEL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07AFD0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2F0A2BE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20.854</w:t>
            </w:r>
          </w:p>
        </w:tc>
      </w:tr>
      <w:tr w:rsidR="007F3C4A" w:rsidRPr="00703EEA" w14:paraId="50C798D1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F113587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KLIMOD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3F537C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8.758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27294EA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8.758</w:t>
            </w:r>
          </w:p>
        </w:tc>
      </w:tr>
      <w:tr w:rsidR="007F3C4A" w:rsidRPr="00703EEA" w14:paraId="6D9C065F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14:paraId="143E7287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Horizon 2020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ABC6E66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9E41239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56.735</w:t>
            </w:r>
          </w:p>
        </w:tc>
      </w:tr>
      <w:tr w:rsidR="007F3C4A" w:rsidRPr="00703EEA" w14:paraId="4CE7EA56" w14:textId="77777777" w:rsidTr="00227560">
        <w:trPr>
          <w:trHeight w:val="176"/>
        </w:trPr>
        <w:tc>
          <w:tcPr>
            <w:tcW w:w="317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5AD5969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THREAD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4BBE07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2C5E4D1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56.735</w:t>
            </w:r>
          </w:p>
        </w:tc>
      </w:tr>
      <w:tr w:rsidR="007F3C4A" w:rsidRPr="00703EEA" w14:paraId="14763E21" w14:textId="77777777" w:rsidTr="00227560">
        <w:trPr>
          <w:trHeight w:val="176"/>
        </w:trPr>
        <w:tc>
          <w:tcPr>
            <w:tcW w:w="3174" w:type="pct"/>
            <w:shd w:val="clear" w:color="auto" w:fill="FFFFCC"/>
            <w:noWrap/>
            <w:vAlign w:val="bottom"/>
          </w:tcPr>
          <w:p w14:paraId="7815B8DC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58285115"/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904" w:type="pct"/>
            <w:shd w:val="clear" w:color="auto" w:fill="FFFFCC"/>
            <w:vAlign w:val="center"/>
          </w:tcPr>
          <w:p w14:paraId="7461C508" w14:textId="5210603E" w:rsidR="007F3C4A" w:rsidRPr="00703EEA" w:rsidRDefault="00EB562D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139.876</w:t>
            </w:r>
          </w:p>
        </w:tc>
        <w:tc>
          <w:tcPr>
            <w:tcW w:w="922" w:type="pct"/>
            <w:shd w:val="clear" w:color="auto" w:fill="FFFFCC"/>
            <w:noWrap/>
            <w:vAlign w:val="center"/>
          </w:tcPr>
          <w:p w14:paraId="65D0C083" w14:textId="40D3233B" w:rsidR="007F3C4A" w:rsidRPr="00703EEA" w:rsidRDefault="00EB562D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210E">
              <w:rPr>
                <w:rFonts w:ascii="Times New Roman" w:hAnsi="Times New Roman" w:cs="Times New Roman"/>
                <w:b/>
                <w:sz w:val="24"/>
                <w:szCs w:val="24"/>
              </w:rPr>
              <w:t>56.633</w:t>
            </w:r>
          </w:p>
        </w:tc>
      </w:tr>
      <w:bookmarkEnd w:id="1"/>
      <w:bookmarkEnd w:id="2"/>
    </w:tbl>
    <w:p w14:paraId="173A37FB" w14:textId="77777777" w:rsidR="007F3C4A" w:rsidRPr="00703EEA" w:rsidRDefault="007F3C4A" w:rsidP="007F3C4A">
      <w:pPr>
        <w:spacing w:before="60" w:after="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82504E" w14:textId="77777777" w:rsidR="007F3C4A" w:rsidRPr="00703EEA" w:rsidRDefault="007F3C4A" w:rsidP="007F3C4A">
      <w:pPr>
        <w:spacing w:before="60" w:after="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4F9C0D" w14:textId="77777777" w:rsidR="007F3C4A" w:rsidRPr="00703EEA" w:rsidRDefault="007F3C4A" w:rsidP="007F3C4A">
      <w:pPr>
        <w:spacing w:before="60" w:after="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225EC9" w14:textId="77777777" w:rsidR="007F3C4A" w:rsidRPr="00703EEA" w:rsidRDefault="007F3C4A" w:rsidP="007F3C4A">
      <w:pPr>
        <w:spacing w:before="60" w:after="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9B2A79" w14:textId="77777777" w:rsidR="007F3C4A" w:rsidRPr="00703EEA" w:rsidRDefault="007F3C4A" w:rsidP="007F3C4A">
      <w:pPr>
        <w:spacing w:before="60" w:after="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93B8D" w14:textId="77777777" w:rsidR="007F3C4A" w:rsidRPr="00703EEA" w:rsidRDefault="007F3C4A" w:rsidP="007F3C4A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EEA">
        <w:rPr>
          <w:rFonts w:ascii="Times New Roman" w:hAnsi="Times New Roman" w:cs="Times New Roman"/>
          <w:b/>
          <w:sz w:val="24"/>
          <w:szCs w:val="24"/>
        </w:rPr>
        <w:t>Pregled EU projekata u tijeku s ukupno ugovorenim i uplaćenim sredstvima od početka provedbe projekta zaključno s 31.12.2023.</w:t>
      </w:r>
    </w:p>
    <w:p w14:paraId="672E50A9" w14:textId="77777777" w:rsidR="007F3C4A" w:rsidRPr="00703EEA" w:rsidRDefault="007F3C4A" w:rsidP="007F3C4A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4"/>
        <w:gridCol w:w="1202"/>
        <w:gridCol w:w="1866"/>
      </w:tblGrid>
      <w:tr w:rsidR="007F3C4A" w:rsidRPr="00703EEA" w14:paraId="0CEDE36A" w14:textId="77777777" w:rsidTr="00227560">
        <w:trPr>
          <w:trHeight w:val="367"/>
        </w:trPr>
        <w:tc>
          <w:tcPr>
            <w:tcW w:w="2813" w:type="pct"/>
            <w:shd w:val="clear" w:color="auto" w:fill="FFFFCC"/>
            <w:noWrap/>
            <w:vAlign w:val="bottom"/>
          </w:tcPr>
          <w:p w14:paraId="76D94553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FONDOVI Europske unije/projekti</w:t>
            </w:r>
          </w:p>
        </w:tc>
        <w:tc>
          <w:tcPr>
            <w:tcW w:w="1139" w:type="pct"/>
            <w:shd w:val="clear" w:color="auto" w:fill="FFFFCC"/>
          </w:tcPr>
          <w:p w14:paraId="08456A81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Ugovorena sredstva</w:t>
            </w:r>
          </w:p>
        </w:tc>
        <w:tc>
          <w:tcPr>
            <w:tcW w:w="1048" w:type="pct"/>
            <w:shd w:val="clear" w:color="auto" w:fill="FFFFCC"/>
            <w:noWrap/>
            <w:vAlign w:val="center"/>
          </w:tcPr>
          <w:p w14:paraId="6A139953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Uplaćena sredstva</w:t>
            </w:r>
          </w:p>
        </w:tc>
      </w:tr>
      <w:tr w:rsidR="007F3C4A" w:rsidRPr="00703EEA" w14:paraId="191130D7" w14:textId="77777777" w:rsidTr="00227560">
        <w:trPr>
          <w:trHeight w:val="367"/>
        </w:trPr>
        <w:tc>
          <w:tcPr>
            <w:tcW w:w="2813" w:type="pct"/>
            <w:shd w:val="clear" w:color="auto" w:fill="FFFFCC"/>
            <w:noWrap/>
            <w:vAlign w:val="bottom"/>
          </w:tcPr>
          <w:p w14:paraId="1D3A2051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Erasmus+</w:t>
            </w:r>
          </w:p>
        </w:tc>
        <w:tc>
          <w:tcPr>
            <w:tcW w:w="1139" w:type="pct"/>
            <w:shd w:val="clear" w:color="auto" w:fill="FFFFCC"/>
          </w:tcPr>
          <w:p w14:paraId="59F68FDA" w14:textId="76EC95FE" w:rsidR="007F3C4A" w:rsidRPr="00703EEA" w:rsidRDefault="00EB562D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104.775</w:t>
            </w:r>
          </w:p>
        </w:tc>
        <w:tc>
          <w:tcPr>
            <w:tcW w:w="1048" w:type="pct"/>
            <w:shd w:val="clear" w:color="auto" w:fill="FFFFCC"/>
            <w:noWrap/>
            <w:vAlign w:val="center"/>
          </w:tcPr>
          <w:p w14:paraId="62F98286" w14:textId="2E789BFC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562D">
              <w:rPr>
                <w:rFonts w:ascii="Times New Roman" w:hAnsi="Times New Roman" w:cs="Times New Roman"/>
                <w:b/>
                <w:sz w:val="24"/>
                <w:szCs w:val="24"/>
              </w:rPr>
              <w:t>8.904</w:t>
            </w:r>
          </w:p>
        </w:tc>
      </w:tr>
      <w:tr w:rsidR="007F3C4A" w:rsidRPr="00703EEA" w14:paraId="2981483D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38B59A2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The Career Garden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FA782A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29.825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AE0B4B4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8.924</w:t>
            </w:r>
          </w:p>
        </w:tc>
      </w:tr>
      <w:tr w:rsidR="007F3C4A" w:rsidRPr="00703EEA" w14:paraId="6D8A1BB3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FBD26BF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OPEN GLASSROOM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845E60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32.500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F2585C8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13.000</w:t>
            </w:r>
          </w:p>
        </w:tc>
      </w:tr>
      <w:tr w:rsidR="007F3C4A" w:rsidRPr="00703EEA" w14:paraId="64F8B7EF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6559E42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XRGREEN.CON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A52A1B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42.450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44D4FBC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16.980</w:t>
            </w:r>
          </w:p>
        </w:tc>
      </w:tr>
      <w:tr w:rsidR="007F3C4A" w:rsidRPr="00703EEA" w14:paraId="35B3135E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14:paraId="34B54775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HORIZON 2020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83221B" w14:textId="7F698983" w:rsidR="007F3C4A" w:rsidRPr="00703EEA" w:rsidRDefault="00EB562D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237.367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6C02E0B" w14:textId="5865DDFF" w:rsidR="007F3C4A" w:rsidRPr="00703EEA" w:rsidRDefault="00EB562D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169.230</w:t>
            </w:r>
          </w:p>
        </w:tc>
      </w:tr>
      <w:tr w:rsidR="007F3C4A" w:rsidRPr="00703EEA" w14:paraId="5F095EAC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1FADFE8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THREAD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6C8A32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237.367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FE5B81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169.230</w:t>
            </w:r>
          </w:p>
        </w:tc>
      </w:tr>
      <w:tr w:rsidR="007F3C4A" w:rsidRPr="00703EEA" w14:paraId="3C413408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14:paraId="0581C6A1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Konkurentnost i kohezija 2014-2020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EADAF4E" w14:textId="5B61DFC6" w:rsidR="007F3C4A" w:rsidRPr="00703EEA" w:rsidRDefault="00EB562D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387.666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82B329B" w14:textId="076B8F1B" w:rsidR="007F3C4A" w:rsidRPr="00703EEA" w:rsidRDefault="00EB562D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308.340</w:t>
            </w:r>
          </w:p>
        </w:tc>
      </w:tr>
      <w:tr w:rsidR="007F3C4A" w:rsidRPr="00703EEA" w14:paraId="7A87C2E7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C75FAF0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Pregotovljene zgrade nulte energije proizvedene na industijski način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288F78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152.703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014D6F8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138.743</w:t>
            </w:r>
          </w:p>
        </w:tc>
      </w:tr>
      <w:tr w:rsidR="007F3C4A" w:rsidRPr="00703EEA" w14:paraId="2A022582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54D1DD1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PRI-MJER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7DA52E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53.846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136AFC7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55.250</w:t>
            </w:r>
          </w:p>
        </w:tc>
      </w:tr>
      <w:tr w:rsidR="007F3C4A" w:rsidRPr="00703EEA" w14:paraId="3D294D84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F65B941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UKV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80CD76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95.805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4571E12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63.299</w:t>
            </w:r>
          </w:p>
        </w:tc>
      </w:tr>
      <w:tr w:rsidR="007F3C4A" w:rsidRPr="00703EEA" w14:paraId="13B4AD38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48F8489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ZACJEL 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DC75D4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67.555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4A11BCE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33.292</w:t>
            </w:r>
          </w:p>
        </w:tc>
      </w:tr>
      <w:tr w:rsidR="007F3C4A" w:rsidRPr="00703EEA" w14:paraId="563329CE" w14:textId="77777777" w:rsidTr="00227560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565E8BB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Cs/>
                <w:sz w:val="24"/>
                <w:szCs w:val="24"/>
              </w:rPr>
              <w:t>KLIMOD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E07EF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17.757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A2FF91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17.756</w:t>
            </w:r>
          </w:p>
        </w:tc>
      </w:tr>
      <w:tr w:rsidR="007F3C4A" w:rsidRPr="00703EEA" w14:paraId="62661502" w14:textId="77777777" w:rsidTr="00227560">
        <w:trPr>
          <w:trHeight w:val="176"/>
        </w:trPr>
        <w:tc>
          <w:tcPr>
            <w:tcW w:w="2813" w:type="pct"/>
            <w:shd w:val="clear" w:color="auto" w:fill="FFFFCC"/>
            <w:noWrap/>
            <w:vAlign w:val="bottom"/>
          </w:tcPr>
          <w:p w14:paraId="03D797CC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139" w:type="pct"/>
            <w:shd w:val="clear" w:color="auto" w:fill="FFFFCC"/>
            <w:vAlign w:val="center"/>
          </w:tcPr>
          <w:p w14:paraId="00E721B7" w14:textId="223141EB" w:rsidR="007F3C4A" w:rsidRPr="00703EEA" w:rsidRDefault="00EB562D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729.808</w:t>
            </w:r>
          </w:p>
        </w:tc>
        <w:tc>
          <w:tcPr>
            <w:tcW w:w="1048" w:type="pct"/>
            <w:shd w:val="clear" w:color="auto" w:fill="FFFFCC"/>
            <w:noWrap/>
            <w:vAlign w:val="center"/>
          </w:tcPr>
          <w:p w14:paraId="3E050A39" w14:textId="4F9DB3B2" w:rsidR="007F3C4A" w:rsidRPr="00703EEA" w:rsidRDefault="00EB562D" w:rsidP="00EB562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516.474</w:t>
            </w:r>
          </w:p>
        </w:tc>
      </w:tr>
    </w:tbl>
    <w:p w14:paraId="0140CD0A" w14:textId="77777777" w:rsidR="007F3C4A" w:rsidRPr="00703EEA" w:rsidRDefault="007F3C4A" w:rsidP="007F3C4A">
      <w:pPr>
        <w:spacing w:before="60" w:after="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06ADE9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03E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Niže je kratki opis EU projekata u tijeku:</w:t>
      </w:r>
    </w:p>
    <w:p w14:paraId="514A7CBE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1A053BD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EB93932" w14:textId="77777777" w:rsidR="007F3C4A" w:rsidRPr="00703EEA" w:rsidRDefault="007F3C4A" w:rsidP="007F3C4A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Joint Training on Numerical Modelling of Highly- flexible Structures for Industrial Applications (THREAD) traje do 2023. – partneri na projektu</w:t>
      </w:r>
    </w:p>
    <w:p w14:paraId="52D43490" w14:textId="77777777" w:rsidR="007F3C4A" w:rsidRPr="00703EEA" w:rsidRDefault="007F3C4A" w:rsidP="007F3C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Građevinski fakultet Sveučilišta u Rijeci sudjeluje zajedno s jedanaest drugih europskih sveučilišta u provedbi projekata pod nazivom </w:t>
      </w:r>
      <w:hyperlink r:id="rId5" w:history="1">
        <w:r w:rsidRPr="00703EE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Joint Training on Numerical Modelling of Highly- flexible Structures for Industrial Applications (THREAD)</w:t>
        </w:r>
      </w:hyperlink>
      <w:r w:rsidRPr="00703EEA">
        <w:rPr>
          <w:rFonts w:ascii="Times New Roman" w:hAnsi="Times New Roman" w:cs="Times New Roman"/>
          <w:color w:val="000000"/>
          <w:sz w:val="24"/>
          <w:szCs w:val="24"/>
        </w:rPr>
        <w:t> financiranog iz programa za istraživanje i inovacije Horizon 2020 Europske unije u okviru sporazuma o dodjeli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br/>
        <w:t>bespovratnih sredstava Marie Skłodowska-Curie </w:t>
      </w:r>
      <w:hyperlink r:id="rId6" w:history="1">
        <w:r w:rsidRPr="00703EE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No. 860124</w:t>
        </w:r>
      </w:hyperlink>
    </w:p>
    <w:p w14:paraId="31F16CD4" w14:textId="77777777" w:rsidR="007F3C4A" w:rsidRPr="00703EEA" w:rsidRDefault="007F3C4A" w:rsidP="007F3C4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Projekt THREAD bavi se mehaničkim modeliranjem, matematičkim formulacijama i numeričkim metodama za vrlo fleksibilne vitke konstrukcije i povezuje inženjere i matematičare u zajedničkim izazovima u industrijskoj primjeni i razvoju softvera slobodnog pristupa. Mladim istraživačima – doktorantima – zaposlenima na projektu bit će omogućen širok pristup lokalnim i umreženim nastavnim aktivnostima koje pokrivaju najnovija istraživačka dostignuća i dodane vještine, kao i uska suradnja s projektnim partnerima iz privrede, koji će provoditi širok program prihvata doktoranata u cilju stjecanja dodatnog inženjerskog iskustva. Na Građevinskome fakultetu Sveučilišta u Rijeci provodit će se istraživački program razvoja novih i efikasnih algoritama za modeliranje problema ponašanja satelitskih antena u uvjetima izloženosti velikim inercijalnim silama i visokim frekvencijama vibracija pri lansiranju. Kao projektni partner iz privrede u istraživanje će biti uključena i Slovenska svemirska agencija Space SI iz Ljubljane, na kojoj će doktorant provesti tri mjeseca, dok će još po mjesec dana doktorant provesti na sveučilištima u Innsbrucku i Liègeu.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Precizno i stabilno će se integrirati jednažbe kretanja definirane na nelinearnim mnogostrukostima i odrediti kontaktne sile između savijenih satelitskih antena i okruženja za vrijeme lansiranja, a dio istraživačkoga programa bavit će se i eksperimentalnom provjerom dobivenih rezultata u potresnom kutku fakultetskoga Laboratorija za konstrukcije. Zaposleniku koji je bio zaposlen na ovom projektu istekao je ugovor o radu. </w:t>
      </w:r>
    </w:p>
    <w:p w14:paraId="15E8C5CD" w14:textId="77777777" w:rsidR="007F3C4A" w:rsidRPr="00703EEA" w:rsidRDefault="007F3C4A" w:rsidP="007F3C4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Ukupni EU proračun projekta iznosi 237.367 EUR, naš fakultet je partner na projektu a glavni koordinatar je Martin Luther University Halle-Wittenberg (Njemačka). Projekt je planiran na izvoru financiranja 51-Pomoći. Razdoblje provedbe projekta 10/2019-10/2023.</w:t>
      </w:r>
    </w:p>
    <w:p w14:paraId="1DF91993" w14:textId="77777777" w:rsidR="007F3C4A" w:rsidRPr="00703EEA" w:rsidRDefault="007F3C4A" w:rsidP="007F3C4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6D68B" w14:textId="77777777" w:rsidR="007F3C4A" w:rsidRPr="00703EEA" w:rsidRDefault="007F3C4A" w:rsidP="007F3C4A">
      <w:pPr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7190E7" w14:textId="77777777" w:rsidR="007F3C4A" w:rsidRPr="00703EEA" w:rsidRDefault="007F3C4A" w:rsidP="007F3C4A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The Career Garden – Building bridges between educational institutions and companies via remote and hybrid</w:t>
      </w:r>
    </w:p>
    <w:p w14:paraId="3DD0B1E1" w14:textId="77777777" w:rsidR="007F3C4A" w:rsidRPr="00703EEA" w:rsidRDefault="007F3C4A" w:rsidP="007F3C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 Voditelj projekta: Institute Francophonia (Nice, France)</w:t>
      </w:r>
    </w:p>
    <w:p w14:paraId="0A44D4EA" w14:textId="77777777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Građevinski fakultet je partner u Erasmus + KA2 projektu „The Career Garden – Building bridges between educational institutions and companies via remote and hybrid internships“, zajedno s još 7 partnera iz 5 zemalja (Francuska, Austrija, Njemačka, Rumunjska, Hrvatska).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Projekt je proizašao iz ograničenih mogućnosti obavljanja stručnih praksi u vrijeme pandemije. Razvila se ideja da se uspostave digitalni formati za stručne prakse učenika i studenata stručnog obrazovanja kroz inovativnu digitalnu platformu i višejezični pristup. 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Razvijeni obrazovni moduli bit će popraćeni standardima osiguravanja kvalitete. Projekt će omogućiti uključivanje studenata našeg stručnog preddiplomskog studija te promovirati europsku i međunarodnu razmjenu. Razdoblje provedbe projekta je 2021-2023. </w:t>
      </w:r>
      <w:bookmarkStart w:id="3" w:name="_Hlk162267119"/>
      <w:r w:rsidRPr="00703EEA">
        <w:rPr>
          <w:rFonts w:ascii="Times New Roman" w:hAnsi="Times New Roman" w:cs="Times New Roman"/>
          <w:color w:val="000000"/>
          <w:sz w:val="24"/>
          <w:szCs w:val="24"/>
        </w:rPr>
        <w:t>Ukupni EU proračun je 29.825 EUR . Projekt je planiran na izvoru financiranja 51- Pomoći</w:t>
      </w:r>
    </w:p>
    <w:bookmarkEnd w:id="3"/>
    <w:p w14:paraId="0DA8D620" w14:textId="77777777" w:rsidR="007F3C4A" w:rsidRPr="00703EEA" w:rsidRDefault="007F3C4A" w:rsidP="007F3C4A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3EEA">
        <w:rPr>
          <w:rFonts w:ascii="Times New Roman" w:hAnsi="Times New Roman" w:cs="Times New Roman"/>
          <w:b/>
          <w:sz w:val="24"/>
          <w:szCs w:val="24"/>
        </w:rPr>
        <w:t> </w:t>
      </w:r>
      <w:r w:rsidRPr="00703EEA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Exchange of reExtended Reality for Training Green Skills in the</w:t>
      </w:r>
      <w:r w:rsidRPr="00703EEA">
        <w:rPr>
          <w:rFonts w:ascii="Times New Roman" w:hAnsi="Times New Roman" w:cs="Times New Roman"/>
          <w:b/>
          <w:sz w:val="24"/>
          <w:szCs w:val="24"/>
        </w:rPr>
        <w:br/>
      </w:r>
      <w:r w:rsidRPr="00703EEA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Construction sector</w:t>
      </w:r>
      <w:r w:rsidRPr="00703EEA">
        <w:rPr>
          <w:rFonts w:ascii="Times New Roman" w:hAnsi="Times New Roman" w:cs="Times New Roman"/>
          <w:b/>
          <w:sz w:val="24"/>
          <w:szCs w:val="24"/>
        </w:rPr>
        <w:t> </w:t>
      </w:r>
      <w:r w:rsidRPr="00703EEA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(XRGREEN.CON)</w:t>
      </w:r>
    </w:p>
    <w:p w14:paraId="212B372F" w14:textId="77777777" w:rsidR="007F3C4A" w:rsidRPr="00703EEA" w:rsidRDefault="007F3C4A" w:rsidP="007F3C4A">
      <w:pPr>
        <w:pStyle w:val="StandardWeb"/>
        <w:shd w:val="clear" w:color="auto" w:fill="FFFFFF"/>
        <w:rPr>
          <w:color w:val="000000"/>
        </w:rPr>
      </w:pPr>
      <w:r w:rsidRPr="00703EEA">
        <w:rPr>
          <w:color w:val="000000"/>
        </w:rPr>
        <w:t>Projekt “ </w:t>
      </w:r>
      <w:r w:rsidRPr="00703EEA">
        <w:rPr>
          <w:rStyle w:val="Naglaeno"/>
          <w:color w:val="000000"/>
        </w:rPr>
        <w:t>Extended Reality for Training Green Skills in the Construction secto</w:t>
      </w:r>
      <w:r w:rsidRPr="00703EEA">
        <w:rPr>
          <w:color w:val="000000"/>
        </w:rPr>
        <w:t>r” odobren je u okviru Ključne aktivnosti 2: Vocational Education and Training.</w:t>
      </w:r>
    </w:p>
    <w:p w14:paraId="11F0CA56" w14:textId="77777777" w:rsidR="007F3C4A" w:rsidRPr="00703EEA" w:rsidRDefault="007F3C4A" w:rsidP="007F3C4A">
      <w:pPr>
        <w:pStyle w:val="StandardWeb"/>
        <w:shd w:val="clear" w:color="auto" w:fill="FFFFFF"/>
        <w:rPr>
          <w:color w:val="000000"/>
        </w:rPr>
      </w:pPr>
      <w:r w:rsidRPr="00703EEA">
        <w:rPr>
          <w:color w:val="000000"/>
        </w:rPr>
        <w:t>XRGREEN.CON ima za cilj promovirati teme kružnog gospodarstva u građevinarstvu, prikazujući primjere, najbolje prakse i učenja kroz obrazovne AR/VR gamificirane simulacije. Projekt će omogućiti zaposlenicima, poslodavcima i dionicima u industriji steći iskustva i prakticirati situacije uživo u virtualnoj simulaciji.</w:t>
      </w:r>
    </w:p>
    <w:p w14:paraId="5D8F0AED" w14:textId="77777777" w:rsidR="007F3C4A" w:rsidRPr="00703EEA" w:rsidRDefault="007F3C4A" w:rsidP="007F3C4A">
      <w:pPr>
        <w:pStyle w:val="StandardWeb"/>
        <w:shd w:val="clear" w:color="auto" w:fill="FFFFFF"/>
        <w:rPr>
          <w:color w:val="000000"/>
        </w:rPr>
      </w:pPr>
      <w:r w:rsidRPr="00703EEA">
        <w:rPr>
          <w:color w:val="000000"/>
        </w:rPr>
        <w:t>Projekt će provoditi ove glavne aktivnosti:</w:t>
      </w:r>
      <w:r w:rsidRPr="00703EEA">
        <w:rPr>
          <w:color w:val="000000"/>
        </w:rPr>
        <w:br/>
        <w:t>1) Definicija potrebnih vještina od strane građevinskih trenera u vezi s temama proširene stvarnosti i zaštite okoliša u građevinskom sektoru.</w:t>
      </w:r>
      <w:r w:rsidRPr="00703EEA">
        <w:rPr>
          <w:color w:val="000000"/>
        </w:rPr>
        <w:br/>
        <w:t>2) Razvoj online i interaktivnog učenja</w:t>
      </w:r>
      <w:r w:rsidRPr="00703EEA">
        <w:rPr>
          <w:color w:val="000000"/>
        </w:rPr>
        <w:br/>
        <w:t>3) Razvoj virtualnih i proširenih scenarija za pripravnike u sektoru povezano sa zelenim temama</w:t>
      </w:r>
      <w:r w:rsidRPr="00703EEA">
        <w:rPr>
          <w:color w:val="000000"/>
        </w:rPr>
        <w:br/>
        <w:t>4) Promicanje zelene i digitalne tranzicije putem XR alata u građevinarstvu</w:t>
      </w:r>
    </w:p>
    <w:p w14:paraId="53A2FD17" w14:textId="77777777" w:rsidR="007F3C4A" w:rsidRPr="00703EEA" w:rsidRDefault="007F3C4A" w:rsidP="007F3C4A">
      <w:pPr>
        <w:pStyle w:val="StandardWeb"/>
        <w:shd w:val="clear" w:color="auto" w:fill="FFFFFF"/>
        <w:rPr>
          <w:color w:val="000000"/>
        </w:rPr>
      </w:pPr>
      <w:r w:rsidRPr="00703EEA">
        <w:rPr>
          <w:color w:val="000000"/>
        </w:rPr>
        <w:br/>
        <w:t>Koordinator projekta je Liepajas Valsts tehnikums (Latvia) dok je naša institucija partner na projektu. Razdoblje provedbe projekta je 10/2023-03/2026. Ukupni EU proračun je 42.450 EUR. Projekt je planiran na izvoru financiranja 51-Pomoći</w:t>
      </w:r>
    </w:p>
    <w:p w14:paraId="2ED430C6" w14:textId="77777777" w:rsidR="007F3C4A" w:rsidRPr="00703EEA" w:rsidRDefault="007F3C4A" w:rsidP="007F3C4A">
      <w:pPr>
        <w:pStyle w:val="StandardWeb"/>
        <w:shd w:val="clear" w:color="auto" w:fill="FFFFFF"/>
        <w:rPr>
          <w:color w:val="000000"/>
        </w:rPr>
      </w:pPr>
    </w:p>
    <w:p w14:paraId="1D5FF878" w14:textId="77777777" w:rsidR="007F3C4A" w:rsidRPr="00703EEA" w:rsidRDefault="007F3C4A" w:rsidP="007F3C4A">
      <w:pPr>
        <w:pStyle w:val="StandardWeb"/>
        <w:numPr>
          <w:ilvl w:val="0"/>
          <w:numId w:val="2"/>
        </w:numPr>
        <w:shd w:val="clear" w:color="auto" w:fill="FFFFFF"/>
        <w:rPr>
          <w:color w:val="000000"/>
        </w:rPr>
      </w:pPr>
      <w:r w:rsidRPr="00703EEA">
        <w:rPr>
          <w:color w:val="000000"/>
        </w:rPr>
        <w:t>OPEN GLASSROOM</w:t>
      </w:r>
    </w:p>
    <w:p w14:paraId="05CBD396" w14:textId="77777777" w:rsidR="007F3C4A" w:rsidRPr="00703EEA" w:rsidRDefault="007F3C4A" w:rsidP="007F3C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Građevinski fakultet je zajedno s 5 europskih sveučilišta dobilo 400.000 eura potpore Erasmus+ Cooperation Partnerships za projekt Open GLASSroom. To će nam omogućiti da postavimo i pokrenemo online platformu za edukaciju o dizajnu i inženjeringu stakla, koja je svima dostupna.</w:t>
      </w:r>
    </w:p>
    <w:p w14:paraId="7780D99C" w14:textId="77777777" w:rsidR="007F3C4A" w:rsidRPr="00703EEA" w:rsidRDefault="007F3C4A" w:rsidP="007F3C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Unatoč svojoj popularnosti, staklo se još uvijek smatra visoko specijaliziranim materijalom, koji se rijetko poučava na tehničkim sveučilištima i svakako nije na istoj razini kao materijali koji se češće primjenjuju, kao što su čelik, beton i drvo. Razvijanjem zajedničkog nastavnog plana i programa za staklo usmjerenog budućnosti na temelju doprinosa raznolike međunarodne zajednice stručnjaka za staklo, ovaj Erasmus+ projekt će konsolidirati postojeće znanje i stvoriti sinergiju između studenata, nastavnika, istraživača i stručnjaka u praksi diljem Europe.</w:t>
      </w:r>
    </w:p>
    <w:p w14:paraId="252937C0" w14:textId="77777777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Zajedno ćemo proizvesti visokokvalitetne obrazovne materijale o dizajnu i inženjerstvu stakla, digitalizirati ih i dijeliti kao otvorene obrazovne resurse (OER) na online platformi otvorenog pristupa – Open GLASSroom. Bavit ćemo se temeljnim temama i temama u nastajanju u istraživanju i inovacijama, uključujući održivost stakla u građevinarstvu. 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Rezultati projekta dijelit će se izvan našeg konzorcija, potičući aktivno sudjelovanje studenata, predavača, istraživača i stručnjaka iz prakse. Projekt je započeo 11/22 te traje do 11/25. Ukupni EU proračun je 32.500 EUR . Projekt je planiran na izvoru financiranja 51- Pomoći.</w:t>
      </w:r>
    </w:p>
    <w:p w14:paraId="394C80D0" w14:textId="77777777" w:rsidR="007F3C4A" w:rsidRPr="00703EEA" w:rsidRDefault="007F3C4A" w:rsidP="007F3C4A">
      <w:pPr>
        <w:pStyle w:val="StandardWeb"/>
        <w:shd w:val="clear" w:color="auto" w:fill="FFFFFF"/>
        <w:spacing w:before="0" w:beforeAutospacing="0"/>
        <w:rPr>
          <w:color w:val="000000"/>
          <w:shd w:val="clear" w:color="auto" w:fill="FFFFFF"/>
        </w:rPr>
      </w:pPr>
    </w:p>
    <w:p w14:paraId="46F69104" w14:textId="77777777" w:rsidR="007F3C4A" w:rsidRPr="00703EEA" w:rsidRDefault="007F3C4A" w:rsidP="007F3C4A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Zaštita cjelovitosti konstrukcija u energetici i transportu  – partneri na projektu </w:t>
      </w:r>
    </w:p>
    <w:p w14:paraId="7C261E0A" w14:textId="77777777" w:rsidR="007F3C4A" w:rsidRPr="00703EEA" w:rsidRDefault="007F3C4A" w:rsidP="007F3C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Projekt </w:t>
      </w:r>
      <w:r w:rsidRPr="00703EEA">
        <w:rPr>
          <w:rFonts w:ascii="Times New Roman" w:hAnsi="Times New Roman" w:cs="Times New Roman"/>
          <w:bCs/>
          <w:color w:val="000000"/>
          <w:sz w:val="24"/>
          <w:szCs w:val="24"/>
        </w:rPr>
        <w:t>„Zaštita cjelovitosti konstrukcija u energetici i transportu”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> financiran je iz EUROPSKIH STRUKTURNIH I INVESTICIJSKIH FONDOVA u okviru Poziva “Ulaganje u znanost i inovacije”</w:t>
      </w:r>
    </w:p>
    <w:p w14:paraId="5D5B72CC" w14:textId="77777777" w:rsidR="007F3C4A" w:rsidRPr="00703EEA" w:rsidRDefault="007F3C4A" w:rsidP="007F3C4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Konstrukcije i sustavi postaju sve složeniji, a zahtjevi koji se postavljaju pri projektiranju i eksploataciji u smislu učinkovitosti, sigurnosti i pouzdanosti predstavljaju sve veći izazov. Kao jedan od imperativa, u posljednje vrijeme se nametnula primjena inteligentnih sustava nadzora i upravljanja dinamički opterećenih konstrukcija s ciljem zaštite cjelovitosti konstrukcije, odnosno sprečavanja pojave oštećenja i produljenja životnog vijeka. U projektu se osobito ističu sektori energetike i transporta, za konstrukcije poput vjetroagregata, turbina, generatora, klipnih strojeva, b b gdet dijelova procesnih postrojenja, cestovnih, pružnih i ostalih vozila, transportera i slično. Za projektiranje učinkovitog sustava za zaštitu cjelovitosti konstrukcije nužna je integracija dostignuća fundamentalnih znanosti (teorija automatskog i robusnog upravljanja, numeričke metode u mehanici, optimizacija, itd.), primjena i integracija suvremenih tehnologija (upravljački i mjerni sustavi), ispitivanja i znanost o materijalima, te srodnih područja.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Navedena polja predstavljaju uža područja istraživanja projekta, a ponajviše „Centra izvrsnosti za procjenu stanja konstrukcija“ osnovanog u okviru projekta „Centre of Excellence for Structural Health“ (CEEStructHealth), te specijaliziranih laboratorija unutar organizacija prijavitelja i partnera. </w:t>
      </w:r>
      <w:r w:rsidRPr="00703EEA">
        <w:rPr>
          <w:rFonts w:ascii="Times New Roman" w:hAnsi="Times New Roman" w:cs="Times New Roman"/>
          <w:bCs/>
          <w:color w:val="000000"/>
          <w:sz w:val="24"/>
          <w:szCs w:val="24"/>
        </w:rPr>
        <w:t>Voditelj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 jeSveučilište u Zagrebu, Fakultet strojarstva i brodogradnje.</w:t>
      </w:r>
    </w:p>
    <w:p w14:paraId="184FDE0B" w14:textId="77777777" w:rsidR="007F3C4A" w:rsidRPr="00703EEA" w:rsidRDefault="007F3C4A" w:rsidP="007F3C4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60EFB" w14:textId="77777777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Razdoblje provedbe projekta: 4/2020-4/2023, projekt je formalno završio te se u 2024. godini čeka isplata po zadnjem izvješću.  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>Ukupni EU proračun je 67.555 EUR . Projekt je planiran na izvoru financiranja 52- Ostale pomoći.</w:t>
      </w:r>
    </w:p>
    <w:p w14:paraId="42799BDC" w14:textId="77777777" w:rsidR="007F3C4A" w:rsidRPr="00703EEA" w:rsidRDefault="007F3C4A" w:rsidP="007F3C4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D173F" w14:textId="77777777" w:rsidR="007F3C4A" w:rsidRPr="00703EEA" w:rsidRDefault="007F3C4A" w:rsidP="007F3C4A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Primjenjena istraživanja klizišta za razvoj mjera ublažavanja i prevencije rizika (PRI-MJER)  – partneri na projektu </w:t>
      </w:r>
    </w:p>
    <w:p w14:paraId="64519AEF" w14:textId="77777777" w:rsidR="007F3C4A" w:rsidRPr="00703EEA" w:rsidRDefault="007F3C4A" w:rsidP="007F3C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Projekt </w:t>
      </w:r>
      <w:r w:rsidRPr="00703EEA">
        <w:rPr>
          <w:rFonts w:ascii="Times New Roman" w:hAnsi="Times New Roman" w:cs="Times New Roman"/>
          <w:bCs/>
          <w:color w:val="000000"/>
          <w:sz w:val="24"/>
          <w:szCs w:val="24"/>
        </w:rPr>
        <w:t>„Primijenjena istraživanja klizišta za razvoj mjera ublažavanja i prevencije rizika” (PRI-MJER)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> financiran je iz EU fonda za regionalni razvoj u okviru Poziva “Shema za jačanje primjenjenih istraživanja za mjere prilagodbe klimatskim promjenama”</w:t>
      </w:r>
    </w:p>
    <w:p w14:paraId="29B1B4DE" w14:textId="77777777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Projekt „PRI-MJER“ uvodi koncept mjera prilagodbe klimatskim promjenama za ublažavanje i prevenciju rizika od klizanja te se sustavno bavi i istraživanjem načina i elaboriranjem prednosti njihove primjene. Projekt promovira koncept smanjenja rizika od klizišta na način da će osigurati alate i znanje neophodno donosiocima odluka svih razina. Projektom će se također podići svijest javnosti o klimatskim promjenama, omogućit će se javna dostupnost 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rezultata istraživanja te će se ojačati kapaciteti istraživača. </w:t>
      </w:r>
      <w:r w:rsidRPr="00703EEA">
        <w:rPr>
          <w:rFonts w:ascii="Times New Roman" w:hAnsi="Times New Roman" w:cs="Times New Roman"/>
          <w:bCs/>
          <w:color w:val="000000"/>
          <w:sz w:val="24"/>
          <w:szCs w:val="24"/>
        </w:rPr>
        <w:t>Voditelj je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 Sveučilište u Zagrebu, Rudarsko- geološko- naftni fakultet, a naš fakultet je partner na projektu.</w:t>
      </w:r>
      <w:r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Razdoblje provedbe projekta: 5/2020-5/2023.Projekt je također završio i u ovoj godini je bilo još dosta aktivnosti kako bi se uspješno završio. 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>Ukupni EU proračun je 53.846 EUR . Projekt je planiran na izvoru financiranja 52- Ostale pomoći.</w:t>
      </w:r>
    </w:p>
    <w:p w14:paraId="21746DA9" w14:textId="77777777" w:rsidR="007F3C4A" w:rsidRPr="00703EEA" w:rsidRDefault="007F3C4A" w:rsidP="007F3C4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FAB0A" w14:textId="3CAB1B20" w:rsidR="007F3C4A" w:rsidRPr="00703EEA" w:rsidRDefault="007F3C4A" w:rsidP="007F3C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03EEA">
        <w:rPr>
          <w:rFonts w:ascii="Times New Roman" w:hAnsi="Times New Roman" w:cs="Times New Roman"/>
          <w:sz w:val="24"/>
          <w:szCs w:val="24"/>
        </w:rPr>
        <w:t xml:space="preserve">  </w:t>
      </w:r>
      <w:r w:rsidR="004F3077">
        <w:rPr>
          <w:rFonts w:ascii="Times New Roman" w:hAnsi="Times New Roman" w:cs="Times New Roman"/>
          <w:sz w:val="24"/>
          <w:szCs w:val="24"/>
        </w:rPr>
        <w:t>7</w:t>
      </w:r>
      <w:r w:rsidRPr="00703EEA">
        <w:rPr>
          <w:rFonts w:ascii="Times New Roman" w:hAnsi="Times New Roman" w:cs="Times New Roman"/>
          <w:sz w:val="24"/>
          <w:szCs w:val="24"/>
        </w:rPr>
        <w:t>.</w:t>
      </w:r>
      <w:r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Predgotovljene zgrade nulte energije proizvedene na industrijski način traje do 2023. – partneri na projektu.</w:t>
      </w:r>
    </w:p>
    <w:p w14:paraId="2A714C6A" w14:textId="77777777" w:rsidR="007F3C4A" w:rsidRPr="00703EEA" w:rsidRDefault="007F3C4A" w:rsidP="007F3C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Projekt </w:t>
      </w:r>
      <w:r w:rsidRPr="0070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703EEA">
        <w:rPr>
          <w:rFonts w:ascii="Times New Roman" w:hAnsi="Times New Roman" w:cs="Times New Roman"/>
          <w:bCs/>
          <w:color w:val="000000"/>
          <w:sz w:val="24"/>
          <w:szCs w:val="24"/>
        </w:rPr>
        <w:t>Predgotovljene zgrade gotovo nulte energije proizvedene na industrijski način”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> financiran je iz EU strukturnih i investicijskih fondova u okviru Poziva “Povećanj razvoja novih proizvoda i usluga koji proizlaze iz aktivnosti istraživanja i razvoja- faza II”.</w:t>
      </w:r>
    </w:p>
    <w:p w14:paraId="578D57AC" w14:textId="77777777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Svrha projekta je jačanje inovativnosti i međunarodne konkurentnosti TEHNOPLAST PROFILI i Partnera razvojem novog inovativnog proizvoda – Predgotovljene zgrade gotovo nulte energije proizvedene na industrijski način, kao rezultat IRI djelatnosti u okviru provedbe suradničkog istraživanja Tehnoplast profili d.o.o. te Palijan d.o.o., i Građevinskog fakulteta u Rijeci. Realizacija projekta će doprinijeti i jačanju istraživačkih kapaciteta Tehnoplast profili d.o.o. te Palijan d.o.o., i Građevinskog fakulteta u Rijeci, te poticanje njihove učinkovite suradnje u provedbi ciljanih ulaganja u IRI aktivnosti u TPP Energija i okoliš. Očekivani rezultat IR aktivnosti predstavlja novi iskorak u području istraživanja i razvoja uz primjenu novih i postojećih znanja i vještina za razvoj novog proizvoda. Konkretan rezultat istraživanja i razvoja biti će proračunski model otpornosti kompozitnih panela opterećenih na savijanje i poprečnu silu, te otpornosti priključka stropni panel – zidni panel opterećenih na poprečnu silu. Rezultati ovih istraživanja predstavljaju novi iskorak i prekretnicu u građenju. Voditelj je TEHNOPLASTPROFILI d.o.o. a mi smo partneri na projektu. </w:t>
      </w:r>
      <w:r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Razdoblje provedbe projekta: 8/2020-8/2023. 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>Ukupni EU proračun je 152.703 EUR . Projekt je planiran na izvoru financiranja 61- Donacije.</w:t>
      </w:r>
    </w:p>
    <w:p w14:paraId="6469412A" w14:textId="77777777" w:rsidR="007F3C4A" w:rsidRPr="00703EEA" w:rsidRDefault="007F3C4A" w:rsidP="007F3C4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5E6BD" w14:textId="27614105" w:rsidR="007F3C4A" w:rsidRPr="00703EEA" w:rsidRDefault="004F3077" w:rsidP="007F3C4A">
      <w:pPr>
        <w:shd w:val="clear" w:color="auto" w:fill="FFFFFF"/>
        <w:spacing w:after="100" w:afterAutospacing="1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7F3C4A"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Upravljanje krškim priobalnim vodonosnicima ugroženim klimatskim promjenama (UKV) partneri na projektu</w:t>
      </w:r>
    </w:p>
    <w:p w14:paraId="58A1AB83" w14:textId="77777777" w:rsidR="007F3C4A" w:rsidRPr="00703EEA" w:rsidRDefault="007F3C4A" w:rsidP="007F3C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Projekt </w:t>
      </w:r>
      <w:r w:rsidRPr="00703EEA">
        <w:rPr>
          <w:rFonts w:ascii="Times New Roman" w:hAnsi="Times New Roman" w:cs="Times New Roman"/>
          <w:bCs/>
          <w:color w:val="000000"/>
          <w:sz w:val="24"/>
          <w:szCs w:val="24"/>
        </w:rPr>
        <w:t>„Upravljanje krškim priobalnim vodonosnicima ugroženim klimatskim promjenama”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> financiran je iz EU fonda za regionalni razvoj u okviru Poziva “Shema za jačanje primjenjenih istraživanja za mjere prilagodbe klimatskim promjenama”</w:t>
      </w:r>
    </w:p>
    <w:p w14:paraId="4D3DAC09" w14:textId="77777777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Projekt je usmjeren na istraživanje (monitoring i modeliranje) neželjenih posljedica klimatskih promjena u priobalnim krškim vodonosnicima – povećanja saliniteta i temperature vode, pogoršanje kakvoće te pronalaženju mjera prilagodbe.  Realizirat će se u razdoblju 2020.-2022. na trima pilot područjima u Hrvatskoj  – Jezeru Vrana na otoku Cresu na kome je nositelj aktivnosti Građevinski fakultet u Rijeci, Slivu Bokanjac – Poličnik kod Zadra na kome je nositelj Geotehnički fakultet iz Varaždina, te Blatskom polju na Korčulima na kome je nositelj aktivnosti Hrvatski geološki institut. Građevinski fakultet u Rijeci nositelj je hidroloških aktivnosti na svim trima pilot područjima, za koje Državni hidrometeorološki zavod provodi simulacije budućih klimatskih promjena, a Geotehnički fakultet vodi projekt. </w:t>
      </w:r>
      <w:r w:rsidRPr="00703E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Voditelj je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 Sveučilište u Zagrebu, Geotehnički fakultet a mi smo partneri na projektu. </w:t>
      </w:r>
      <w:r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Razdoblje provedbe projekta: 5/2020-10/2022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Projekt je također završio u ovoj godini nakon dobivenog produžetka. 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>Ukupni EU proračun je 95.805 EUR . Projekt je planiran na izvoru financiranja 52- Ostale pomoći.</w:t>
      </w:r>
    </w:p>
    <w:p w14:paraId="51FDC13E" w14:textId="77777777" w:rsidR="007F3C4A" w:rsidRPr="00703EEA" w:rsidRDefault="007F3C4A" w:rsidP="007F3C4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B378D" w14:textId="30007853" w:rsidR="007F3C4A" w:rsidRPr="004F3077" w:rsidRDefault="007F3C4A" w:rsidP="004F3077">
      <w:pPr>
        <w:pStyle w:val="Odlomakpopisa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Računalni model strujanja, poplavljivanja i širenja onečišćenja u rijekama i obalnim morskim područjima (KLIMOD) partneri na projektu</w:t>
      </w:r>
    </w:p>
    <w:p w14:paraId="70BECF65" w14:textId="77777777" w:rsidR="007F3C4A" w:rsidRPr="00703EEA" w:rsidRDefault="007F3C4A" w:rsidP="007F3C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Projekt </w:t>
      </w:r>
      <w:r w:rsidRPr="0070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„Računalni model strujanja, poplavljivanja i širenja onečišćenja u rijekama i obalnim morskim područjima”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> financiran je iz EUROPSKIH STRUKTURNIH I INVESTICIJSKIH FONDOVA u okviru Poziva “Shema za jačanje primijenjenih istraživanja za mjere prilagodbe klimatskim promjenama”.</w:t>
      </w:r>
    </w:p>
    <w:p w14:paraId="63275837" w14:textId="77777777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color w:val="000000"/>
          <w:sz w:val="24"/>
          <w:szCs w:val="24"/>
        </w:rPr>
        <w:t>Provedbom projekta provode se primijenjena znanstvena istraživanja i razvija se računalni model za učinkovito modeliranje strujanja i širenja onečišćenja u otvorenim vodotocima i obalnom morskom području, s prihvatom riječnih utoka, bujičnih utoka te industrijskih i kanalizacijskih ispusta u obalno morsko područje, uz istodobni razvoj predikcijskog modela mikrobiološkog onečišćenja baziranog na modelima umjetne inteligencije te integraciju modela širenja onečišćenja mikroplastikom u ukupni model.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Računalni model prilagođen je superračunalnom okružju što omogućuje provođenje simulacija visoke rezolucije s ciljem provođenja mjera za ublažavanje posljedica klimatskih promjena na prioritetnim ranjivim i trasverzalnim područjima. </w:t>
      </w:r>
      <w:r w:rsidRPr="00703EEA">
        <w:rPr>
          <w:rFonts w:ascii="Times New Roman" w:hAnsi="Times New Roman" w:cs="Times New Roman"/>
          <w:bCs/>
          <w:color w:val="000000"/>
          <w:sz w:val="24"/>
          <w:szCs w:val="24"/>
        </w:rPr>
        <w:t>Voditelj je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 xml:space="preserve"> Tehnički fakultet Sveučilišta u Rijeci a naš fakultet je partner na projektu. </w:t>
      </w:r>
      <w:r w:rsidRPr="00703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Razdoblje provedbe projekta: 01/2020-01/2023. </w:t>
      </w:r>
      <w:r w:rsidRPr="00703EEA">
        <w:rPr>
          <w:rFonts w:ascii="Times New Roman" w:hAnsi="Times New Roman" w:cs="Times New Roman"/>
          <w:color w:val="000000"/>
          <w:sz w:val="24"/>
          <w:szCs w:val="24"/>
        </w:rPr>
        <w:t>Ukupni EU proračun je 17.757 EUR . Projekt je planiran na izvoru financiranja 52- Ostale pomoći.</w:t>
      </w:r>
    </w:p>
    <w:p w14:paraId="65584EE4" w14:textId="6CD89F78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</w:p>
    <w:p w14:paraId="4D6AB7AD" w14:textId="11BB4810" w:rsidR="007F3C4A" w:rsidRPr="00703EEA" w:rsidRDefault="007F3C4A" w:rsidP="007F3C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IZVJEŠTAJ O DANIM ZAJMOVIMA I POTRAŽIVANJIMA PO DANIM ZAJMOVINA</w:t>
      </w:r>
    </w:p>
    <w:p w14:paraId="58C83766" w14:textId="6950AAF1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Tijekom 2023. godine Građevinski fakultet nema danih zajmova niti potraživanja po danim zajmovima.</w:t>
      </w:r>
    </w:p>
    <w:p w14:paraId="56BABF15" w14:textId="5541792C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</w:p>
    <w:p w14:paraId="4BD26014" w14:textId="5B125690" w:rsidR="007F3C4A" w:rsidRPr="00703EEA" w:rsidRDefault="007F3C4A" w:rsidP="007F3C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EEA">
        <w:rPr>
          <w:rFonts w:ascii="Times New Roman" w:hAnsi="Times New Roman" w:cs="Times New Roman"/>
          <w:sz w:val="24"/>
          <w:szCs w:val="24"/>
        </w:rPr>
        <w:t>IZVJEŠTAJ O STANJU POTRAŽIVANJA I DOSPJELIH OBVEZA TE O STANJU POTENCIJALNIH OBVEZA PO OSNOVI SUDSKIH SPOROVA</w:t>
      </w:r>
    </w:p>
    <w:p w14:paraId="698FC493" w14:textId="53F70E30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</w:p>
    <w:p w14:paraId="30C441C8" w14:textId="26E4F522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03E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Stanje </w:t>
      </w:r>
      <w:r w:rsidR="006045A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ukupnih i dospjelih potraživanja </w:t>
      </w:r>
      <w:r w:rsidRPr="00703E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 dan 31.12.2023. izgleda kako slijedi:</w:t>
      </w:r>
    </w:p>
    <w:p w14:paraId="741C7483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1"/>
        <w:gridCol w:w="2265"/>
      </w:tblGrid>
      <w:tr w:rsidR="007F3C4A" w:rsidRPr="00703EEA" w14:paraId="087F7E8B" w14:textId="77777777" w:rsidTr="006045A5">
        <w:trPr>
          <w:trHeight w:val="367"/>
        </w:trPr>
        <w:tc>
          <w:tcPr>
            <w:tcW w:w="3731" w:type="pct"/>
            <w:shd w:val="clear" w:color="auto" w:fill="FFFFCC"/>
            <w:noWrap/>
            <w:vAlign w:val="bottom"/>
          </w:tcPr>
          <w:p w14:paraId="02AEC426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58296095"/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potraživanja</w:t>
            </w:r>
          </w:p>
        </w:tc>
        <w:tc>
          <w:tcPr>
            <w:tcW w:w="1269" w:type="pct"/>
            <w:shd w:val="clear" w:color="auto" w:fill="FFFFCC"/>
          </w:tcPr>
          <w:p w14:paraId="05A79158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F3C4A" w:rsidRPr="00703EEA" w14:paraId="2BE36C93" w14:textId="77777777" w:rsidTr="006045A5">
        <w:trPr>
          <w:trHeight w:val="182"/>
        </w:trPr>
        <w:tc>
          <w:tcPr>
            <w:tcW w:w="3731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E264CFE" w14:textId="3DBB490A" w:rsidR="007F3C4A" w:rsidRPr="00703EEA" w:rsidRDefault="006045A5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Ukupna potraživanja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6460D4" w14:textId="31833F83" w:rsidR="007F3C4A" w:rsidRPr="00703EEA" w:rsidRDefault="006045A5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135.459,79</w:t>
            </w:r>
          </w:p>
        </w:tc>
      </w:tr>
      <w:tr w:rsidR="007F3C4A" w:rsidRPr="00703EEA" w14:paraId="1A7E5C68" w14:textId="77777777" w:rsidTr="006045A5">
        <w:trPr>
          <w:trHeight w:val="176"/>
        </w:trPr>
        <w:tc>
          <w:tcPr>
            <w:tcW w:w="3731" w:type="pct"/>
            <w:shd w:val="clear" w:color="auto" w:fill="FFFFFF"/>
            <w:noWrap/>
            <w:vAlign w:val="bottom"/>
          </w:tcPr>
          <w:p w14:paraId="4EC908C9" w14:textId="1B4F0EDD" w:rsidR="007F3C4A" w:rsidRPr="00703EEA" w:rsidRDefault="006045A5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Dospjela potraživanja</w:t>
            </w:r>
          </w:p>
        </w:tc>
        <w:tc>
          <w:tcPr>
            <w:tcW w:w="1269" w:type="pct"/>
            <w:shd w:val="clear" w:color="auto" w:fill="FFFFFF"/>
            <w:vAlign w:val="center"/>
          </w:tcPr>
          <w:p w14:paraId="1162E881" w14:textId="5B965EBE" w:rsidR="007F3C4A" w:rsidRPr="00703EEA" w:rsidRDefault="006045A5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118.234,54</w:t>
            </w:r>
          </w:p>
        </w:tc>
      </w:tr>
      <w:bookmarkEnd w:id="4"/>
    </w:tbl>
    <w:p w14:paraId="42C7275B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E29AF6" w14:textId="050AB770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EE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Od ukupnog iznosa potraživanja </w:t>
      </w:r>
      <w:r w:rsidR="006045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koja su dospjela većina se odnosi na školarine koje su plaćene početkom 2024. godini.</w:t>
      </w:r>
    </w:p>
    <w:p w14:paraId="4E5FB738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04AFBE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D6E20A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AA878D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1F17F9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E766BB" w14:textId="378F6AB9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03E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Stanje </w:t>
      </w:r>
      <w:r w:rsidR="006045A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ukupnih i dospjelih </w:t>
      </w:r>
      <w:r w:rsidRPr="00703E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obveza na dan 31.12.2023. izgleda kako slijedi:</w:t>
      </w:r>
    </w:p>
    <w:p w14:paraId="195CBB0D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1"/>
        <w:gridCol w:w="2265"/>
      </w:tblGrid>
      <w:tr w:rsidR="007F3C4A" w:rsidRPr="00703EEA" w14:paraId="78227731" w14:textId="77777777" w:rsidTr="00227560">
        <w:trPr>
          <w:trHeight w:val="463"/>
        </w:trPr>
        <w:tc>
          <w:tcPr>
            <w:tcW w:w="3731" w:type="pct"/>
            <w:shd w:val="clear" w:color="auto" w:fill="FFFFCC"/>
            <w:noWrap/>
            <w:vAlign w:val="bottom"/>
          </w:tcPr>
          <w:p w14:paraId="15808E28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Obveze</w:t>
            </w:r>
          </w:p>
        </w:tc>
        <w:tc>
          <w:tcPr>
            <w:tcW w:w="1269" w:type="pct"/>
            <w:shd w:val="clear" w:color="auto" w:fill="FFFFCC"/>
          </w:tcPr>
          <w:p w14:paraId="7FDA635A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F3C4A" w:rsidRPr="00703EEA" w14:paraId="675E41C6" w14:textId="77777777" w:rsidTr="00227560">
        <w:trPr>
          <w:trHeight w:val="176"/>
        </w:trPr>
        <w:tc>
          <w:tcPr>
            <w:tcW w:w="3731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D438A9C" w14:textId="00F83E4B" w:rsidR="007F3C4A" w:rsidRPr="00703EEA" w:rsidRDefault="00EB562D" w:rsidP="0022756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Ukupne obveze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296D99" w14:textId="2DCDF445" w:rsidR="007F3C4A" w:rsidRPr="00703EEA" w:rsidRDefault="00EB562D" w:rsidP="0022756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316.277,34</w:t>
            </w:r>
          </w:p>
        </w:tc>
      </w:tr>
    </w:tbl>
    <w:p w14:paraId="260E35CE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32E765" w14:textId="64074CAA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Stanje nepodmirenih dospjelih obveza na dan 31.12.2023. iznosilo je </w:t>
      </w:r>
      <w:r w:rsidR="00EB5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316.277,34 od toga </w:t>
      </w:r>
      <w:r w:rsidR="006045A5">
        <w:rPr>
          <w:rFonts w:ascii="Times New Roman" w:eastAsia="Times New Roman" w:hAnsi="Times New Roman" w:cs="Times New Roman"/>
          <w:sz w:val="24"/>
          <w:szCs w:val="24"/>
          <w:lang w:eastAsia="en-GB"/>
        </w:rPr>
        <w:t>međusobne obveze subjekata općeg proračuna 31.011,28 EUR, obveze za rashode poslovanja 284.715,34 EUR te obveze za nabavu nefinancijske imovine 550,72 EUR.</w:t>
      </w:r>
    </w:p>
    <w:p w14:paraId="5DE3D313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256163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15D282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3979E6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0660FE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C3D474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BA3A5C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5DBB8E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F11239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03E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Stanje potencijalnih obveza po osnovi sudskih sporova na dan 31.12.2023.:</w:t>
      </w:r>
    </w:p>
    <w:p w14:paraId="7B54F42A" w14:textId="77777777" w:rsidR="007F3C4A" w:rsidRPr="00703EEA" w:rsidRDefault="007F3C4A" w:rsidP="007F3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5500"/>
      </w:tblGrid>
      <w:tr w:rsidR="007F3C4A" w:rsidRPr="00703EEA" w14:paraId="3DF5A36A" w14:textId="77777777" w:rsidTr="00227560">
        <w:trPr>
          <w:trHeight w:val="367"/>
        </w:trPr>
        <w:tc>
          <w:tcPr>
            <w:tcW w:w="3562" w:type="dxa"/>
            <w:shd w:val="clear" w:color="auto" w:fill="FFFFCC"/>
            <w:noWrap/>
            <w:vAlign w:val="bottom"/>
          </w:tcPr>
          <w:p w14:paraId="0527D8D6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Sudski spor</w:t>
            </w:r>
          </w:p>
        </w:tc>
        <w:tc>
          <w:tcPr>
            <w:tcW w:w="5500" w:type="dxa"/>
            <w:shd w:val="clear" w:color="auto" w:fill="FFFFCC"/>
          </w:tcPr>
          <w:p w14:paraId="64B63AAB" w14:textId="77777777" w:rsidR="007F3C4A" w:rsidRPr="00703EEA" w:rsidRDefault="007F3C4A" w:rsidP="002275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F3C4A" w:rsidRPr="00703EEA" w14:paraId="4D6136DF" w14:textId="77777777" w:rsidTr="00227560">
        <w:trPr>
          <w:trHeight w:val="176"/>
        </w:trPr>
        <w:tc>
          <w:tcPr>
            <w:tcW w:w="3562" w:type="dxa"/>
            <w:shd w:val="clear" w:color="auto" w:fill="auto"/>
            <w:noWrap/>
          </w:tcPr>
          <w:p w14:paraId="138AE590" w14:textId="77777777" w:rsidR="007F3C4A" w:rsidRPr="00703EEA" w:rsidRDefault="007F3C4A" w:rsidP="0022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Radni spor</w:t>
            </w:r>
          </w:p>
        </w:tc>
        <w:tc>
          <w:tcPr>
            <w:tcW w:w="5500" w:type="dxa"/>
          </w:tcPr>
          <w:p w14:paraId="529586CD" w14:textId="77777777" w:rsidR="007F3C4A" w:rsidRPr="00703EEA" w:rsidRDefault="007F3C4A" w:rsidP="00227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 xml:space="preserve">131.474,10 </w:t>
            </w:r>
          </w:p>
        </w:tc>
      </w:tr>
      <w:tr w:rsidR="007F3C4A" w:rsidRPr="00703EEA" w14:paraId="75B2839C" w14:textId="77777777" w:rsidTr="00227560">
        <w:trPr>
          <w:trHeight w:val="176"/>
        </w:trPr>
        <w:tc>
          <w:tcPr>
            <w:tcW w:w="3562" w:type="dxa"/>
            <w:shd w:val="clear" w:color="auto" w:fill="auto"/>
            <w:noWrap/>
          </w:tcPr>
          <w:p w14:paraId="2582DF08" w14:textId="77777777" w:rsidR="007F3C4A" w:rsidRPr="00703EEA" w:rsidRDefault="007F3C4A" w:rsidP="0022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Tužba za 6% povećanja osnovice</w:t>
            </w:r>
          </w:p>
        </w:tc>
        <w:tc>
          <w:tcPr>
            <w:tcW w:w="5500" w:type="dxa"/>
          </w:tcPr>
          <w:p w14:paraId="28B2FD77" w14:textId="77777777" w:rsidR="007F3C4A" w:rsidRPr="00703EEA" w:rsidRDefault="007F3C4A" w:rsidP="00227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 xml:space="preserve">1.418,83 </w:t>
            </w:r>
          </w:p>
        </w:tc>
      </w:tr>
      <w:tr w:rsidR="007F3C4A" w:rsidRPr="00703EEA" w14:paraId="53EF9C77" w14:textId="77777777" w:rsidTr="00227560">
        <w:trPr>
          <w:trHeight w:val="176"/>
        </w:trPr>
        <w:tc>
          <w:tcPr>
            <w:tcW w:w="3562" w:type="dxa"/>
            <w:shd w:val="clear" w:color="auto" w:fill="auto"/>
            <w:noWrap/>
          </w:tcPr>
          <w:p w14:paraId="5C6FFF84" w14:textId="77777777" w:rsidR="007F3C4A" w:rsidRPr="00703EEA" w:rsidRDefault="007F3C4A" w:rsidP="0022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Tužba za 6% povećanja osnovice</w:t>
            </w:r>
          </w:p>
        </w:tc>
        <w:tc>
          <w:tcPr>
            <w:tcW w:w="5500" w:type="dxa"/>
          </w:tcPr>
          <w:p w14:paraId="4FAA50EE" w14:textId="77777777" w:rsidR="007F3C4A" w:rsidRPr="00703EEA" w:rsidRDefault="007F3C4A" w:rsidP="00227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 xml:space="preserve">2.128,42 </w:t>
            </w:r>
          </w:p>
        </w:tc>
      </w:tr>
      <w:tr w:rsidR="007F3C4A" w:rsidRPr="00703EEA" w14:paraId="64AC6F34" w14:textId="77777777" w:rsidTr="00227560">
        <w:trPr>
          <w:trHeight w:val="176"/>
        </w:trPr>
        <w:tc>
          <w:tcPr>
            <w:tcW w:w="3562" w:type="dxa"/>
            <w:shd w:val="clear" w:color="auto" w:fill="auto"/>
            <w:noWrap/>
          </w:tcPr>
          <w:p w14:paraId="2A52718D" w14:textId="77777777" w:rsidR="007F3C4A" w:rsidRPr="00703EEA" w:rsidRDefault="007F3C4A" w:rsidP="0022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Tužba za 6% povećanja osnovice</w:t>
            </w:r>
          </w:p>
        </w:tc>
        <w:tc>
          <w:tcPr>
            <w:tcW w:w="5500" w:type="dxa"/>
          </w:tcPr>
          <w:p w14:paraId="37DAEC6A" w14:textId="77777777" w:rsidR="007F3C4A" w:rsidRPr="00703EEA" w:rsidRDefault="007F3C4A" w:rsidP="00227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 xml:space="preserve">2.867,58 </w:t>
            </w:r>
          </w:p>
        </w:tc>
      </w:tr>
      <w:tr w:rsidR="007F3C4A" w:rsidRPr="00703EEA" w14:paraId="568DE49A" w14:textId="77777777" w:rsidTr="00227560">
        <w:trPr>
          <w:trHeight w:val="176"/>
        </w:trPr>
        <w:tc>
          <w:tcPr>
            <w:tcW w:w="3562" w:type="dxa"/>
            <w:shd w:val="clear" w:color="auto" w:fill="auto"/>
            <w:noWrap/>
          </w:tcPr>
          <w:p w14:paraId="46330FC8" w14:textId="77777777" w:rsidR="007F3C4A" w:rsidRPr="00703EEA" w:rsidRDefault="007F3C4A" w:rsidP="0022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>Tužba za 6% povećanja osnovice</w:t>
            </w:r>
          </w:p>
        </w:tc>
        <w:tc>
          <w:tcPr>
            <w:tcW w:w="5500" w:type="dxa"/>
          </w:tcPr>
          <w:p w14:paraId="2FF14918" w14:textId="77777777" w:rsidR="007F3C4A" w:rsidRPr="00703EEA" w:rsidRDefault="007F3C4A" w:rsidP="00227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 xml:space="preserve">2.317,74 </w:t>
            </w:r>
          </w:p>
        </w:tc>
      </w:tr>
      <w:tr w:rsidR="007F3C4A" w:rsidRPr="00703EEA" w14:paraId="6CCC8617" w14:textId="77777777" w:rsidTr="00227560">
        <w:trPr>
          <w:trHeight w:val="176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14:paraId="1C87BB58" w14:textId="77777777" w:rsidR="007F3C4A" w:rsidRPr="00703EEA" w:rsidRDefault="007F3C4A" w:rsidP="0022756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E2AD8D1" w14:textId="77777777" w:rsidR="007F3C4A" w:rsidRPr="00703EEA" w:rsidRDefault="007F3C4A" w:rsidP="0022756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A">
              <w:rPr>
                <w:rFonts w:ascii="Times New Roman" w:hAnsi="Times New Roman" w:cs="Times New Roman"/>
                <w:b/>
                <w:sz w:val="24"/>
                <w:szCs w:val="24"/>
              </w:rPr>
              <w:t>140.206,67</w:t>
            </w:r>
          </w:p>
        </w:tc>
      </w:tr>
    </w:tbl>
    <w:p w14:paraId="7D411B16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90936" w14:textId="77777777" w:rsidR="007F3C4A" w:rsidRPr="00703EEA" w:rsidRDefault="007F3C4A" w:rsidP="007F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03EEA">
        <w:rPr>
          <w:rFonts w:ascii="Times New Roman" w:hAnsi="Times New Roman" w:cs="Times New Roman"/>
          <w:sz w:val="24"/>
          <w:szCs w:val="24"/>
        </w:rPr>
        <w:t>Na navedene iznose evidentirati će se i troškovi zateznih kamata i troškovi postupka.</w:t>
      </w:r>
    </w:p>
    <w:p w14:paraId="47E82AF1" w14:textId="77777777" w:rsidR="007F3C4A" w:rsidRPr="00703EEA" w:rsidRDefault="007F3C4A" w:rsidP="007F3C4A">
      <w:pPr>
        <w:rPr>
          <w:rFonts w:ascii="Times New Roman" w:hAnsi="Times New Roman" w:cs="Times New Roman"/>
          <w:sz w:val="24"/>
          <w:szCs w:val="24"/>
        </w:rPr>
      </w:pPr>
    </w:p>
    <w:sectPr w:rsidR="007F3C4A" w:rsidRPr="007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4A9"/>
    <w:multiLevelType w:val="hybridMultilevel"/>
    <w:tmpl w:val="CEC4E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21A"/>
    <w:multiLevelType w:val="hybridMultilevel"/>
    <w:tmpl w:val="1E760938"/>
    <w:lvl w:ilvl="0" w:tplc="77CE75AE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70E71CE"/>
    <w:multiLevelType w:val="hybridMultilevel"/>
    <w:tmpl w:val="5A5856EE"/>
    <w:lvl w:ilvl="0" w:tplc="710C4A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B3024"/>
    <w:multiLevelType w:val="hybridMultilevel"/>
    <w:tmpl w:val="4F76B84C"/>
    <w:lvl w:ilvl="0" w:tplc="2632BFFA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13"/>
    <w:rsid w:val="004A6413"/>
    <w:rsid w:val="004F3077"/>
    <w:rsid w:val="005C210E"/>
    <w:rsid w:val="006045A5"/>
    <w:rsid w:val="00703EEA"/>
    <w:rsid w:val="00784AC6"/>
    <w:rsid w:val="007F3C4A"/>
    <w:rsid w:val="00BC044B"/>
    <w:rsid w:val="00E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DD29"/>
  <w15:chartTrackingRefBased/>
  <w15:docId w15:val="{0D82C761-1E0E-4BD8-9B60-DD7F1DA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A6413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qFormat/>
    <w:locked/>
    <w:rsid w:val="007F3C4A"/>
  </w:style>
  <w:style w:type="character" w:styleId="Naglaeno">
    <w:name w:val="Strong"/>
    <w:uiPriority w:val="22"/>
    <w:qFormat/>
    <w:rsid w:val="007F3C4A"/>
    <w:rPr>
      <w:b/>
      <w:bCs/>
    </w:rPr>
  </w:style>
  <w:style w:type="paragraph" w:styleId="StandardWeb">
    <w:name w:val="Normal (Web)"/>
    <w:basedOn w:val="Normal"/>
    <w:uiPriority w:val="99"/>
    <w:unhideWhenUsed/>
    <w:rsid w:val="007F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dis.europa.eu/project/id/860124" TargetMode="External"/><Relationship Id="rId5" Type="http://schemas.openxmlformats.org/officeDocument/2006/relationships/hyperlink" Target="https://thread-et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Ilić-Huserik</dc:creator>
  <cp:keywords/>
  <dc:description/>
  <cp:lastModifiedBy>Nataša Ilić-Huserik</cp:lastModifiedBy>
  <cp:revision>13</cp:revision>
  <dcterms:created xsi:type="dcterms:W3CDTF">2024-03-25T13:20:00Z</dcterms:created>
  <dcterms:modified xsi:type="dcterms:W3CDTF">2024-03-28T12:33:00Z</dcterms:modified>
</cp:coreProperties>
</file>