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808AF" w14:textId="2E51AC17" w:rsidR="00BC044B" w:rsidRPr="00703EEA" w:rsidRDefault="004A6413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SVEUČILIŠTE U RIJECI</w:t>
      </w:r>
    </w:p>
    <w:p w14:paraId="0E43C966" w14:textId="37F0EEDD" w:rsidR="004A6413" w:rsidRPr="00703EEA" w:rsidRDefault="004A6413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 xml:space="preserve">GRAĐEVINSKI FAKULTET </w:t>
      </w:r>
    </w:p>
    <w:p w14:paraId="31085C5E" w14:textId="69F43890" w:rsidR="004A6413" w:rsidRPr="00703EEA" w:rsidRDefault="004A6413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 xml:space="preserve">OIB </w:t>
      </w:r>
      <w:r w:rsidR="00730274">
        <w:rPr>
          <w:rFonts w:ascii="Times New Roman" w:hAnsi="Times New Roman" w:cs="Times New Roman"/>
          <w:sz w:val="24"/>
          <w:szCs w:val="24"/>
        </w:rPr>
        <w:t>9</w:t>
      </w:r>
      <w:r w:rsidRPr="00703EEA">
        <w:rPr>
          <w:rFonts w:ascii="Times New Roman" w:hAnsi="Times New Roman" w:cs="Times New Roman"/>
          <w:sz w:val="24"/>
          <w:szCs w:val="24"/>
        </w:rPr>
        <w:t>2037849504</w:t>
      </w:r>
    </w:p>
    <w:p w14:paraId="22983371" w14:textId="76752A85" w:rsidR="004A6413" w:rsidRDefault="004A6413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RKP 2160</w:t>
      </w:r>
    </w:p>
    <w:p w14:paraId="07ED1EC4" w14:textId="546CF311" w:rsidR="00784AC6" w:rsidRPr="00703EEA" w:rsidRDefault="00784A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 2</w:t>
      </w:r>
      <w:r w:rsidR="0004200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ožujka 202</w:t>
      </w:r>
      <w:r w:rsidR="0004200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3B7285" w14:textId="53A51C93" w:rsidR="004A6413" w:rsidRPr="00703EEA" w:rsidRDefault="004A6413">
      <w:pPr>
        <w:rPr>
          <w:rFonts w:ascii="Times New Roman" w:hAnsi="Times New Roman" w:cs="Times New Roman"/>
          <w:sz w:val="24"/>
          <w:szCs w:val="24"/>
        </w:rPr>
      </w:pPr>
    </w:p>
    <w:p w14:paraId="00461F74" w14:textId="1D3155C6" w:rsidR="004A6413" w:rsidRPr="00703EEA" w:rsidRDefault="004A6413">
      <w:pPr>
        <w:rPr>
          <w:rFonts w:ascii="Times New Roman" w:hAnsi="Times New Roman" w:cs="Times New Roman"/>
          <w:sz w:val="24"/>
          <w:szCs w:val="24"/>
        </w:rPr>
      </w:pPr>
    </w:p>
    <w:p w14:paraId="08B43BFD" w14:textId="056E1D79" w:rsidR="004A6413" w:rsidRPr="00703EEA" w:rsidRDefault="004A6413">
      <w:pPr>
        <w:rPr>
          <w:rFonts w:ascii="Times New Roman" w:hAnsi="Times New Roman" w:cs="Times New Roman"/>
          <w:sz w:val="24"/>
          <w:szCs w:val="24"/>
        </w:rPr>
      </w:pPr>
    </w:p>
    <w:p w14:paraId="6C6D6626" w14:textId="052BC152" w:rsidR="004A6413" w:rsidRPr="00703EEA" w:rsidRDefault="004A6413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POSEBNI IZVJEŠTAJ UZ IZVJEŠTAJ O IZVRŠENJU FINANCIJSKOG PLANA ZA 202</w:t>
      </w:r>
      <w:r w:rsidR="00D52D92">
        <w:rPr>
          <w:rFonts w:ascii="Times New Roman" w:hAnsi="Times New Roman" w:cs="Times New Roman"/>
          <w:sz w:val="24"/>
          <w:szCs w:val="24"/>
        </w:rPr>
        <w:t>4</w:t>
      </w:r>
      <w:r w:rsidRPr="00703EEA">
        <w:rPr>
          <w:rFonts w:ascii="Times New Roman" w:hAnsi="Times New Roman" w:cs="Times New Roman"/>
          <w:sz w:val="24"/>
          <w:szCs w:val="24"/>
        </w:rPr>
        <w:t>. GODINU</w:t>
      </w:r>
    </w:p>
    <w:p w14:paraId="3F6C0257" w14:textId="2DA29BCC" w:rsidR="004A6413" w:rsidRPr="00703EEA" w:rsidRDefault="004A6413">
      <w:pPr>
        <w:rPr>
          <w:rFonts w:ascii="Times New Roman" w:hAnsi="Times New Roman" w:cs="Times New Roman"/>
          <w:sz w:val="24"/>
          <w:szCs w:val="24"/>
        </w:rPr>
      </w:pPr>
    </w:p>
    <w:p w14:paraId="41621358" w14:textId="77777777" w:rsidR="004A6413" w:rsidRPr="00703EEA" w:rsidRDefault="004A6413" w:rsidP="004A641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IZVJEŠTAJ O ZADUŽIVANJU NA DOMAĆEM I STRANOM TRŽIŠTU KAPITALA</w:t>
      </w:r>
    </w:p>
    <w:p w14:paraId="649AAE86" w14:textId="204A8966" w:rsidR="004A6413" w:rsidRPr="00703EEA" w:rsidRDefault="004A6413" w:rsidP="004A6413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Tijekom 202</w:t>
      </w:r>
      <w:r w:rsidR="00042006">
        <w:rPr>
          <w:rFonts w:ascii="Times New Roman" w:hAnsi="Times New Roman" w:cs="Times New Roman"/>
          <w:sz w:val="24"/>
          <w:szCs w:val="24"/>
        </w:rPr>
        <w:t>4</w:t>
      </w:r>
      <w:r w:rsidRPr="00703EEA">
        <w:rPr>
          <w:rFonts w:ascii="Times New Roman" w:hAnsi="Times New Roman" w:cs="Times New Roman"/>
          <w:sz w:val="24"/>
          <w:szCs w:val="24"/>
        </w:rPr>
        <w:t>. godine  Građevinski fakultet nije se zaduživao na domaćem i stranom tržištu kapitala.</w:t>
      </w:r>
    </w:p>
    <w:p w14:paraId="4B75AFCE" w14:textId="7CE650EB" w:rsidR="004A6413" w:rsidRPr="00703EEA" w:rsidRDefault="004A6413" w:rsidP="004A6413">
      <w:pPr>
        <w:rPr>
          <w:rFonts w:ascii="Times New Roman" w:hAnsi="Times New Roman" w:cs="Times New Roman"/>
          <w:sz w:val="24"/>
          <w:szCs w:val="24"/>
        </w:rPr>
      </w:pPr>
    </w:p>
    <w:p w14:paraId="2ABB3478" w14:textId="742995FB" w:rsidR="004A6413" w:rsidRPr="00703EEA" w:rsidRDefault="004A6413" w:rsidP="004A6413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IZVJEŠTAJ O KORIŠTENJU SREDSTAVA FONDOVA EUROPSKE UNIJE</w:t>
      </w:r>
    </w:p>
    <w:p w14:paraId="7A6BBA69" w14:textId="1499A4EA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</w:p>
    <w:p w14:paraId="07D76F47" w14:textId="377D6C20" w:rsidR="007F3C4A" w:rsidRPr="00703EEA" w:rsidRDefault="007F3C4A" w:rsidP="007F3C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703EEA">
        <w:rPr>
          <w:rFonts w:ascii="Times New Roman" w:hAnsi="Times New Roman" w:cs="Times New Roman"/>
          <w:sz w:val="24"/>
          <w:szCs w:val="24"/>
        </w:rPr>
        <w:t>Izvještaj o korištenju sredstava fondova Europske Unije za 202</w:t>
      </w:r>
      <w:r w:rsidR="00042006">
        <w:rPr>
          <w:rFonts w:ascii="Times New Roman" w:hAnsi="Times New Roman" w:cs="Times New Roman"/>
          <w:sz w:val="24"/>
          <w:szCs w:val="24"/>
        </w:rPr>
        <w:t>4</w:t>
      </w:r>
      <w:r w:rsidRPr="00703EEA">
        <w:rPr>
          <w:rFonts w:ascii="Times New Roman" w:hAnsi="Times New Roman" w:cs="Times New Roman"/>
          <w:sz w:val="24"/>
          <w:szCs w:val="24"/>
        </w:rPr>
        <w:t xml:space="preserve">. godinu izrađen je koristeći metodologiju modificiranog gotovinskog načela, kao i Upute za planiranje i računovodstveno evidentiranje prihoda i rashoda iz EU. </w:t>
      </w:r>
      <w:r w:rsidRPr="00703E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Sredstva pomoći od institucija i tijela EU i pomoći iz državnog proračuna temeljem prijenosa EU sredstava (tekuće i kapitalne) kojima se po metodi pojednostavljenih troškova </w:t>
      </w:r>
      <w:r w:rsidRPr="00703E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(simplified cost option) </w:t>
      </w:r>
      <w:r w:rsidRPr="00703EE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financiraju programi i projekti priznati su u prihode izvještajnog razdoblja u kojemu su postali raspoloživi sukladno čl. 67. Pravilnika o proračunskom računovodstvu i Računskom planu. </w:t>
      </w:r>
    </w:p>
    <w:p w14:paraId="6ED4A03A" w14:textId="4DF35BA0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3EEA">
        <w:rPr>
          <w:rFonts w:ascii="Times New Roman" w:eastAsia="Times New Roman" w:hAnsi="Times New Roman" w:cs="Times New Roman"/>
          <w:sz w:val="24"/>
          <w:szCs w:val="24"/>
          <w:lang w:eastAsia="en-GB"/>
        </w:rPr>
        <w:t>Na dan 31.12.202</w:t>
      </w:r>
      <w:r w:rsidR="00042006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703EEA">
        <w:rPr>
          <w:rFonts w:ascii="Times New Roman" w:eastAsia="Times New Roman" w:hAnsi="Times New Roman" w:cs="Times New Roman"/>
          <w:sz w:val="24"/>
          <w:szCs w:val="24"/>
          <w:lang w:eastAsia="en-GB"/>
        </w:rPr>
        <w:t>. Fakultet nema evidentirane obveze za primljene predujmove iz fondova EU.</w:t>
      </w:r>
    </w:p>
    <w:p w14:paraId="6E13BC11" w14:textId="77777777" w:rsidR="007F3C4A" w:rsidRPr="00703EEA" w:rsidRDefault="007F3C4A" w:rsidP="007F3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2C0B4" w14:textId="32CCA7E7" w:rsidR="007F3C4A" w:rsidRPr="00703EEA" w:rsidRDefault="007F3C4A" w:rsidP="007F3C4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EA">
        <w:rPr>
          <w:rFonts w:ascii="Times New Roman" w:hAnsi="Times New Roman" w:cs="Times New Roman"/>
          <w:b/>
          <w:sz w:val="24"/>
          <w:szCs w:val="24"/>
        </w:rPr>
        <w:t>Pregled podataka o evidentiranim prihodima i rashodima po fondovima Europske unije u 202</w:t>
      </w:r>
      <w:r w:rsidR="00042006">
        <w:rPr>
          <w:rFonts w:ascii="Times New Roman" w:hAnsi="Times New Roman" w:cs="Times New Roman"/>
          <w:b/>
          <w:sz w:val="24"/>
          <w:szCs w:val="24"/>
        </w:rPr>
        <w:t>4</w:t>
      </w:r>
      <w:r w:rsidRPr="00703EEA">
        <w:rPr>
          <w:rFonts w:ascii="Times New Roman" w:hAnsi="Times New Roman" w:cs="Times New Roman"/>
          <w:b/>
          <w:sz w:val="24"/>
          <w:szCs w:val="24"/>
        </w:rPr>
        <w:t>. godini izgleda kako slijedi: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2"/>
        <w:gridCol w:w="1084"/>
        <w:gridCol w:w="1116"/>
      </w:tblGrid>
      <w:tr w:rsidR="007F3C4A" w:rsidRPr="00703EEA" w14:paraId="513E343B" w14:textId="77777777" w:rsidTr="004128C9">
        <w:trPr>
          <w:trHeight w:val="367"/>
        </w:trPr>
        <w:tc>
          <w:tcPr>
            <w:tcW w:w="3786" w:type="pct"/>
            <w:shd w:val="clear" w:color="auto" w:fill="FFFFCC"/>
            <w:noWrap/>
            <w:vAlign w:val="bottom"/>
          </w:tcPr>
          <w:p w14:paraId="7E477BD9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96691487"/>
            <w:bookmarkStart w:id="1" w:name="_Hlk1481681"/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FONDOVI Europske unije/projekti</w:t>
            </w:r>
          </w:p>
        </w:tc>
        <w:tc>
          <w:tcPr>
            <w:tcW w:w="598" w:type="pct"/>
            <w:shd w:val="clear" w:color="auto" w:fill="FFFFCC"/>
          </w:tcPr>
          <w:p w14:paraId="17673875" w14:textId="77777777" w:rsidR="007F3C4A" w:rsidRPr="00703EEA" w:rsidRDefault="007F3C4A" w:rsidP="002275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Prihodi</w:t>
            </w:r>
          </w:p>
        </w:tc>
        <w:tc>
          <w:tcPr>
            <w:tcW w:w="616" w:type="pct"/>
            <w:shd w:val="clear" w:color="auto" w:fill="FFFFCC"/>
            <w:noWrap/>
            <w:vAlign w:val="center"/>
          </w:tcPr>
          <w:p w14:paraId="6DEDA775" w14:textId="77777777" w:rsidR="007F3C4A" w:rsidRPr="00703EEA" w:rsidRDefault="007F3C4A" w:rsidP="002275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7F3C4A" w:rsidRPr="00703EEA" w14:paraId="7908DC74" w14:textId="77777777" w:rsidTr="004128C9">
        <w:trPr>
          <w:trHeight w:val="367"/>
        </w:trPr>
        <w:tc>
          <w:tcPr>
            <w:tcW w:w="3786" w:type="pct"/>
            <w:shd w:val="clear" w:color="auto" w:fill="FFFFCC"/>
            <w:noWrap/>
            <w:vAlign w:val="bottom"/>
          </w:tcPr>
          <w:p w14:paraId="5A6697AB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</w:t>
            </w:r>
          </w:p>
        </w:tc>
        <w:tc>
          <w:tcPr>
            <w:tcW w:w="598" w:type="pct"/>
            <w:shd w:val="clear" w:color="auto" w:fill="FFFFCC"/>
          </w:tcPr>
          <w:p w14:paraId="2CD56BF7" w14:textId="46FAFCB7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21.454</w:t>
            </w:r>
          </w:p>
        </w:tc>
        <w:tc>
          <w:tcPr>
            <w:tcW w:w="616" w:type="pct"/>
            <w:shd w:val="clear" w:color="auto" w:fill="FFFFCC"/>
            <w:noWrap/>
            <w:vAlign w:val="center"/>
          </w:tcPr>
          <w:p w14:paraId="129BAB57" w14:textId="1D8ABD9D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12.851</w:t>
            </w:r>
          </w:p>
        </w:tc>
      </w:tr>
      <w:bookmarkEnd w:id="0"/>
      <w:tr w:rsidR="007F3C4A" w:rsidRPr="00703EEA" w14:paraId="15A70D95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3FE42A7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The Career Garden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4FEBE4" w14:textId="77777777" w:rsidR="007F3C4A" w:rsidRPr="00703EEA" w:rsidRDefault="007F3C4A" w:rsidP="00227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4.474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11960E6" w14:textId="6F1FEC14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4.982</w:t>
            </w:r>
          </w:p>
        </w:tc>
      </w:tr>
      <w:tr w:rsidR="007F3C4A" w:rsidRPr="00703EEA" w14:paraId="098122C7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4C0BF2E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OPEN GLASSROOM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732E70" w14:textId="04BC8A18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AC959A7" w14:textId="7441F79F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5.369</w:t>
            </w:r>
          </w:p>
        </w:tc>
      </w:tr>
      <w:tr w:rsidR="007F3C4A" w:rsidRPr="00703EEA" w14:paraId="0785F9BC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A1FEE3B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XRGREEN.CON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032146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16.980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71208472" w14:textId="0459CFFC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2.500</w:t>
            </w:r>
          </w:p>
        </w:tc>
      </w:tr>
      <w:tr w:rsidR="007F3C4A" w:rsidRPr="00703EEA" w14:paraId="0B7AB0AB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14:paraId="39CA5F90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Konkuretnost i kohezija 2014.-2020.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3C0EEFB" w14:textId="096B1AA4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46.442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B9CDA97" w14:textId="1E2FABDD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26.010</w:t>
            </w:r>
          </w:p>
        </w:tc>
      </w:tr>
      <w:tr w:rsidR="007F3C4A" w:rsidRPr="00703EEA" w14:paraId="59894051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CD8537A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Pregotovljene zgrade nulte energije proizvedene na industrijski način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077AD7" w14:textId="181FB507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12.812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40045F9" w14:textId="2FA55F7E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4.261</w:t>
            </w:r>
          </w:p>
        </w:tc>
      </w:tr>
      <w:tr w:rsidR="007F3C4A" w:rsidRPr="00703EEA" w14:paraId="5BD1B4F8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01753B9F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PRI-MJER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7CEE39" w14:textId="175E213C" w:rsidR="007F3C4A" w:rsidRPr="00703EEA" w:rsidRDefault="004128C9" w:rsidP="00227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8CBC1AC" w14:textId="62162682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21.497</w:t>
            </w:r>
          </w:p>
        </w:tc>
      </w:tr>
      <w:tr w:rsidR="007F3C4A" w:rsidRPr="00703EEA" w14:paraId="69B1ABC2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718693F" w14:textId="411AB0F6" w:rsidR="007F3C4A" w:rsidRPr="00703EEA" w:rsidRDefault="00D70EF4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BLUE-CONNECT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8A5B46" w14:textId="09BAD34F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CDC478C" w14:textId="0F4D8A88" w:rsidR="007F3C4A" w:rsidRPr="00703EEA" w:rsidRDefault="004128C9" w:rsidP="005C210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F3C4A" w:rsidRPr="00703EEA" w14:paraId="24A02752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01732E0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ZACJEL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07AFD0" w14:textId="0F47A18A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33.378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2F0A2BE" w14:textId="1231DA2B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4A" w:rsidRPr="00703EEA" w14:paraId="6D9C065F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14:paraId="143E7287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Horizon 2020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ABC6E66" w14:textId="462B447E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6634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.266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69E41239" w14:textId="30A450A9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18.304</w:t>
            </w:r>
          </w:p>
        </w:tc>
      </w:tr>
      <w:tr w:rsidR="007F3C4A" w:rsidRPr="00703EEA" w14:paraId="4CE7EA56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5AD5969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THREAD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4BBE07" w14:textId="26CE7886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3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.266</w:t>
            </w: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2C5E4D1" w14:textId="38BBF1D4" w:rsidR="007F3C4A" w:rsidRPr="00703EEA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18.304</w:t>
            </w:r>
          </w:p>
        </w:tc>
      </w:tr>
      <w:tr w:rsidR="004128C9" w:rsidRPr="00703EEA" w14:paraId="2F194285" w14:textId="77777777" w:rsidTr="006C4BAB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14:paraId="25DA0A5D" w14:textId="139C9A82" w:rsidR="004128C9" w:rsidRPr="004128C9" w:rsidRDefault="004128C9" w:rsidP="0022756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8C9">
              <w:rPr>
                <w:rFonts w:ascii="Times New Roman" w:hAnsi="Times New Roman" w:cs="Times New Roman"/>
                <w:b/>
                <w:sz w:val="24"/>
                <w:szCs w:val="24"/>
              </w:rPr>
              <w:t>INTERREG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8CC54FF" w14:textId="77777777" w:rsidR="004128C9" w:rsidRPr="004128C9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11E591DB" w14:textId="1A482647" w:rsidR="004128C9" w:rsidRPr="004128C9" w:rsidRDefault="001B7B2B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49.601</w:t>
            </w:r>
          </w:p>
        </w:tc>
      </w:tr>
      <w:tr w:rsidR="004128C9" w:rsidRPr="00703EEA" w14:paraId="63FAD171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D678158" w14:textId="5297EA10" w:rsidR="004128C9" w:rsidRPr="00703EEA" w:rsidRDefault="004128C9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Resonance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D9DF3E" w14:textId="77777777" w:rsidR="004128C9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3F5611EF" w14:textId="450B967B" w:rsidR="004128C9" w:rsidRDefault="001B7B2B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40.041</w:t>
            </w:r>
          </w:p>
        </w:tc>
      </w:tr>
      <w:tr w:rsidR="004128C9" w:rsidRPr="00703EEA" w14:paraId="31BFEB85" w14:textId="77777777" w:rsidTr="004128C9">
        <w:trPr>
          <w:trHeight w:val="176"/>
        </w:trPr>
        <w:tc>
          <w:tcPr>
            <w:tcW w:w="3786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76CEA7C" w14:textId="75B27286" w:rsidR="004128C9" w:rsidRPr="00703EEA" w:rsidRDefault="004128C9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Cisco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6C9BBF" w14:textId="77777777" w:rsidR="004128C9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99FC7C6" w14:textId="5A413A5B" w:rsidR="004128C9" w:rsidRDefault="004128C9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9.560</w:t>
            </w:r>
          </w:p>
        </w:tc>
      </w:tr>
      <w:tr w:rsidR="007F3C4A" w:rsidRPr="00703EEA" w14:paraId="14763E21" w14:textId="77777777" w:rsidTr="004128C9">
        <w:trPr>
          <w:trHeight w:val="176"/>
        </w:trPr>
        <w:tc>
          <w:tcPr>
            <w:tcW w:w="3786" w:type="pct"/>
            <w:shd w:val="clear" w:color="auto" w:fill="FFFFCC"/>
            <w:noWrap/>
            <w:vAlign w:val="bottom"/>
          </w:tcPr>
          <w:p w14:paraId="7815B8DC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58285115"/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598" w:type="pct"/>
            <w:shd w:val="clear" w:color="auto" w:fill="FFFFCC"/>
            <w:vAlign w:val="center"/>
          </w:tcPr>
          <w:p w14:paraId="7461C508" w14:textId="7A8C4496" w:rsidR="007F3C4A" w:rsidRPr="00703EEA" w:rsidRDefault="00C66341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103.708</w:t>
            </w:r>
          </w:p>
        </w:tc>
        <w:tc>
          <w:tcPr>
            <w:tcW w:w="616" w:type="pct"/>
            <w:shd w:val="clear" w:color="auto" w:fill="FFFFCC"/>
            <w:noWrap/>
            <w:vAlign w:val="center"/>
          </w:tcPr>
          <w:p w14:paraId="65D0C083" w14:textId="3F4E5CE9" w:rsidR="007F3C4A" w:rsidRPr="00703EEA" w:rsidRDefault="001B7B2B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106.766</w:t>
            </w:r>
          </w:p>
        </w:tc>
      </w:tr>
      <w:bookmarkEnd w:id="1"/>
      <w:bookmarkEnd w:id="2"/>
    </w:tbl>
    <w:p w14:paraId="173A37FB" w14:textId="77777777" w:rsidR="007F3C4A" w:rsidRPr="00703EEA" w:rsidRDefault="007F3C4A" w:rsidP="007F3C4A">
      <w:pPr>
        <w:spacing w:before="60" w:after="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82504E" w14:textId="77777777" w:rsidR="007F3C4A" w:rsidRPr="00703EEA" w:rsidRDefault="007F3C4A" w:rsidP="007F3C4A">
      <w:pPr>
        <w:spacing w:before="60" w:after="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4F9C0D" w14:textId="77777777" w:rsidR="007F3C4A" w:rsidRPr="00703EEA" w:rsidRDefault="007F3C4A" w:rsidP="007F3C4A">
      <w:pPr>
        <w:spacing w:before="60" w:after="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A225EC9" w14:textId="77777777" w:rsidR="007F3C4A" w:rsidRPr="00703EEA" w:rsidRDefault="007F3C4A" w:rsidP="007F3C4A">
      <w:pPr>
        <w:spacing w:before="60" w:after="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B2A79" w14:textId="77777777" w:rsidR="007F3C4A" w:rsidRPr="00703EEA" w:rsidRDefault="007F3C4A" w:rsidP="007F3C4A">
      <w:pPr>
        <w:spacing w:before="60" w:after="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2B93B8D" w14:textId="776AD85F" w:rsidR="007F3C4A" w:rsidRPr="00703EEA" w:rsidRDefault="007F3C4A" w:rsidP="007F3C4A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EEA">
        <w:rPr>
          <w:rFonts w:ascii="Times New Roman" w:hAnsi="Times New Roman" w:cs="Times New Roman"/>
          <w:b/>
          <w:sz w:val="24"/>
          <w:szCs w:val="24"/>
        </w:rPr>
        <w:t>Pregled EU projekata u tijeku s ukupno ugovorenim i uplaćenim sredstvima od početka provedbe projekta zaključno s 31.12.202</w:t>
      </w:r>
      <w:r w:rsidR="009A32B0">
        <w:rPr>
          <w:rFonts w:ascii="Times New Roman" w:hAnsi="Times New Roman" w:cs="Times New Roman"/>
          <w:b/>
          <w:sz w:val="24"/>
          <w:szCs w:val="24"/>
        </w:rPr>
        <w:t>4</w:t>
      </w:r>
      <w:r w:rsidRPr="00703EEA">
        <w:rPr>
          <w:rFonts w:ascii="Times New Roman" w:hAnsi="Times New Roman" w:cs="Times New Roman"/>
          <w:b/>
          <w:sz w:val="24"/>
          <w:szCs w:val="24"/>
        </w:rPr>
        <w:t>.</w:t>
      </w:r>
    </w:p>
    <w:p w14:paraId="672E50A9" w14:textId="77777777" w:rsidR="007F3C4A" w:rsidRPr="00703EEA" w:rsidRDefault="007F3C4A" w:rsidP="007F3C4A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94"/>
        <w:gridCol w:w="1202"/>
        <w:gridCol w:w="1866"/>
      </w:tblGrid>
      <w:tr w:rsidR="007F3C4A" w:rsidRPr="00703EEA" w14:paraId="0CEDE36A" w14:textId="77777777" w:rsidTr="00730DA4">
        <w:trPr>
          <w:trHeight w:val="367"/>
        </w:trPr>
        <w:tc>
          <w:tcPr>
            <w:tcW w:w="3307" w:type="pct"/>
            <w:shd w:val="clear" w:color="auto" w:fill="FFFFCC"/>
            <w:noWrap/>
            <w:vAlign w:val="bottom"/>
          </w:tcPr>
          <w:p w14:paraId="76D94553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FONDOVI Europske unije/projekti</w:t>
            </w:r>
          </w:p>
        </w:tc>
        <w:tc>
          <w:tcPr>
            <w:tcW w:w="663" w:type="pct"/>
            <w:shd w:val="clear" w:color="auto" w:fill="FFFFCC"/>
          </w:tcPr>
          <w:p w14:paraId="08456A81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Ugovorena sredstva</w:t>
            </w:r>
          </w:p>
        </w:tc>
        <w:tc>
          <w:tcPr>
            <w:tcW w:w="1030" w:type="pct"/>
            <w:shd w:val="clear" w:color="auto" w:fill="FFFFCC"/>
            <w:noWrap/>
            <w:vAlign w:val="center"/>
          </w:tcPr>
          <w:p w14:paraId="6A139953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Uplaćena sredstva</w:t>
            </w:r>
          </w:p>
        </w:tc>
      </w:tr>
      <w:tr w:rsidR="007F3C4A" w:rsidRPr="00703EEA" w14:paraId="191130D7" w14:textId="77777777" w:rsidTr="00730DA4">
        <w:trPr>
          <w:trHeight w:val="367"/>
        </w:trPr>
        <w:tc>
          <w:tcPr>
            <w:tcW w:w="3307" w:type="pct"/>
            <w:shd w:val="clear" w:color="auto" w:fill="FFFFCC"/>
            <w:noWrap/>
            <w:vAlign w:val="bottom"/>
          </w:tcPr>
          <w:p w14:paraId="1D3A2051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Erasmus+</w:t>
            </w:r>
          </w:p>
        </w:tc>
        <w:tc>
          <w:tcPr>
            <w:tcW w:w="663" w:type="pct"/>
            <w:shd w:val="clear" w:color="auto" w:fill="FFFFCC"/>
          </w:tcPr>
          <w:p w14:paraId="59F68FDA" w14:textId="76EC95FE" w:rsidR="007F3C4A" w:rsidRPr="00703EEA" w:rsidRDefault="00EB562D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104.775</w:t>
            </w:r>
          </w:p>
        </w:tc>
        <w:tc>
          <w:tcPr>
            <w:tcW w:w="1030" w:type="pct"/>
            <w:shd w:val="clear" w:color="auto" w:fill="FFFFCC"/>
            <w:noWrap/>
            <w:vAlign w:val="center"/>
          </w:tcPr>
          <w:p w14:paraId="62F98286" w14:textId="4789AD50" w:rsidR="007F3C4A" w:rsidRPr="00703EEA" w:rsidRDefault="009A32B0" w:rsidP="009A32B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60.358</w:t>
            </w:r>
          </w:p>
        </w:tc>
      </w:tr>
      <w:tr w:rsidR="007F3C4A" w:rsidRPr="00703EEA" w14:paraId="2981483D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38B59A2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The Career Garden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FA782A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29.825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AE0B4B4" w14:textId="1D2963B8" w:rsidR="007F3C4A" w:rsidRPr="00703EEA" w:rsidRDefault="009A32B0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13.398</w:t>
            </w:r>
          </w:p>
        </w:tc>
      </w:tr>
      <w:tr w:rsidR="007F3C4A" w:rsidRPr="00703EEA" w14:paraId="6D8A1BB3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FBD26BF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OPEN GLASSROOM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845E60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32.500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F2585C8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13.000</w:t>
            </w:r>
          </w:p>
        </w:tc>
      </w:tr>
      <w:tr w:rsidR="007F3C4A" w:rsidRPr="00703EEA" w14:paraId="64F8B7EF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6559E42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XRGREEN.CON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A52A1B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42.450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44D4FBC" w14:textId="258B556D" w:rsidR="007F3C4A" w:rsidRPr="00703EEA" w:rsidRDefault="009A32B0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33.960</w:t>
            </w:r>
          </w:p>
        </w:tc>
      </w:tr>
      <w:tr w:rsidR="007F3C4A" w:rsidRPr="00703EEA" w14:paraId="35B3135E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14:paraId="34B54775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HORIZON 2020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983221B" w14:textId="7F698983" w:rsidR="007F3C4A" w:rsidRPr="00703EEA" w:rsidRDefault="00EB562D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237.367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26C02E0B" w14:textId="2A1CF94C" w:rsidR="007F3C4A" w:rsidRPr="00703EEA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226.496</w:t>
            </w:r>
          </w:p>
        </w:tc>
      </w:tr>
      <w:tr w:rsidR="007F3C4A" w:rsidRPr="00703EEA" w14:paraId="5F095EAC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1FADFE8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THREAD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06C8A32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237.367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5EFE5B81" w14:textId="2A4505C1" w:rsidR="007F3C4A" w:rsidRPr="00703EEA" w:rsidRDefault="009A32B0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226.496</w:t>
            </w:r>
          </w:p>
        </w:tc>
      </w:tr>
      <w:tr w:rsidR="007F3C4A" w:rsidRPr="00703EEA" w14:paraId="3C413408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14:paraId="0581C6A1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Konkurentnost i kohezija 2014-2020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5EADAF4E" w14:textId="2D845647" w:rsidR="007F3C4A" w:rsidRPr="00703EEA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274.356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482B329B" w14:textId="7697FC4F" w:rsidR="007F3C4A" w:rsidRPr="00703EEA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273.727</w:t>
            </w:r>
          </w:p>
        </w:tc>
      </w:tr>
      <w:tr w:rsidR="007F3C4A" w:rsidRPr="00703EEA" w14:paraId="7A87C2E7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C75FAF0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Pregotovljene zgrade nulte energije proizvedene na industijski način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5288F78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152.703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014D6F8" w14:textId="76DD4D3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DA4">
              <w:rPr>
                <w:rFonts w:ascii="Times New Roman" w:hAnsi="Times New Roman" w:cs="Times New Roman"/>
                <w:sz w:val="24"/>
                <w:szCs w:val="24"/>
              </w:rPr>
              <w:t>51.555</w:t>
            </w:r>
          </w:p>
        </w:tc>
      </w:tr>
      <w:tr w:rsidR="007F3C4A" w:rsidRPr="00703EEA" w14:paraId="2A022582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454D1DD1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>PRI-MJER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7DA52E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53.846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0136AFC7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55.250</w:t>
            </w:r>
          </w:p>
        </w:tc>
      </w:tr>
      <w:tr w:rsidR="007F3C4A" w:rsidRPr="00703EEA" w14:paraId="3D294D84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2F65B941" w14:textId="2CB494C2" w:rsidR="007F3C4A" w:rsidRPr="00703EEA" w:rsidRDefault="00D70EF4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BLUE-CONNECT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C80CD76" w14:textId="1F740007" w:rsidR="007F3C4A" w:rsidRPr="00703EEA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24571E12" w14:textId="1755934F" w:rsidR="007F3C4A" w:rsidRPr="00703EEA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</w:tr>
      <w:tr w:rsidR="007F3C4A" w:rsidRPr="00703EEA" w14:paraId="13B4AD38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748F8489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ZACJEL 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C75D4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67.555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64A11BCE" w14:textId="6AA933A3" w:rsidR="007F3C4A" w:rsidRPr="00703EEA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66.670</w:t>
            </w:r>
          </w:p>
        </w:tc>
      </w:tr>
      <w:tr w:rsidR="00730DA4" w:rsidRPr="00703EEA" w14:paraId="796F62AF" w14:textId="77777777" w:rsidTr="006C4BAB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14:paraId="0657E561" w14:textId="6BA67127" w:rsidR="00730DA4" w:rsidRPr="00730DA4" w:rsidRDefault="00730DA4" w:rsidP="0022756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D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INTERREG HRVATSKA-ITALIJA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5077E1F" w14:textId="48BB5BD5" w:rsidR="00730DA4" w:rsidRPr="00BD6D88" w:rsidRDefault="00BD6D88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D6D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517.949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CC"/>
            <w:noWrap/>
            <w:vAlign w:val="center"/>
          </w:tcPr>
          <w:p w14:paraId="3B7E5AD5" w14:textId="77777777" w:rsidR="00730DA4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A4" w:rsidRPr="00703EEA" w14:paraId="788AA1F6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6A5C64B6" w14:textId="78A4CC71" w:rsidR="00730DA4" w:rsidRPr="00703EEA" w:rsidRDefault="00730DA4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RESONANCE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08ACE" w14:textId="59505649" w:rsidR="00730DA4" w:rsidRPr="00703EEA" w:rsidRDefault="00BD6D88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309.678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452A083B" w14:textId="77777777" w:rsidR="00730DA4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DA4" w:rsidRPr="00703EEA" w14:paraId="0EFD8BC2" w14:textId="77777777" w:rsidTr="00730DA4">
        <w:trPr>
          <w:trHeight w:val="176"/>
        </w:trPr>
        <w:tc>
          <w:tcPr>
            <w:tcW w:w="3307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347F51FB" w14:textId="0E46CB36" w:rsidR="00730DA4" w:rsidRPr="00703EEA" w:rsidRDefault="00730DA4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CISCO</w:t>
            </w:r>
          </w:p>
        </w:tc>
        <w:tc>
          <w:tcPr>
            <w:tcW w:w="66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78DD0F" w14:textId="330F2C04" w:rsidR="00730DA4" w:rsidRPr="00703EEA" w:rsidRDefault="00BD6D88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208.271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FFFFFF"/>
            <w:noWrap/>
            <w:vAlign w:val="center"/>
          </w:tcPr>
          <w:p w14:paraId="1EC537E2" w14:textId="77777777" w:rsidR="00730DA4" w:rsidRDefault="00730DA4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4A" w:rsidRPr="00703EEA" w14:paraId="62661502" w14:textId="77777777" w:rsidTr="00730DA4">
        <w:trPr>
          <w:trHeight w:val="176"/>
        </w:trPr>
        <w:tc>
          <w:tcPr>
            <w:tcW w:w="3307" w:type="pct"/>
            <w:shd w:val="clear" w:color="auto" w:fill="FFFFCC"/>
            <w:noWrap/>
            <w:vAlign w:val="bottom"/>
          </w:tcPr>
          <w:p w14:paraId="03D797CC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663" w:type="pct"/>
            <w:shd w:val="clear" w:color="auto" w:fill="FFFFCC"/>
            <w:vAlign w:val="center"/>
          </w:tcPr>
          <w:p w14:paraId="00E721B7" w14:textId="1A61F8CA" w:rsidR="007F3C4A" w:rsidRPr="00703EEA" w:rsidRDefault="00BD6D88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1.134.447</w:t>
            </w:r>
          </w:p>
        </w:tc>
        <w:tc>
          <w:tcPr>
            <w:tcW w:w="1030" w:type="pct"/>
            <w:shd w:val="clear" w:color="auto" w:fill="FFFFCC"/>
            <w:noWrap/>
            <w:vAlign w:val="center"/>
          </w:tcPr>
          <w:p w14:paraId="3E050A39" w14:textId="51FBF09D" w:rsidR="007F3C4A" w:rsidRPr="00703EEA" w:rsidRDefault="00730DA4" w:rsidP="00EB562D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560.581</w:t>
            </w:r>
          </w:p>
        </w:tc>
      </w:tr>
    </w:tbl>
    <w:p w14:paraId="0140CD0A" w14:textId="77777777" w:rsidR="007F3C4A" w:rsidRPr="00703EEA" w:rsidRDefault="007F3C4A" w:rsidP="007F3C4A">
      <w:pPr>
        <w:spacing w:before="60" w:after="6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06ADE9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Niže je kratki opis EU projekata u tijeku:</w:t>
      </w:r>
    </w:p>
    <w:p w14:paraId="514A7CBE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1A053BD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6EB93932" w14:textId="77777777" w:rsidR="007F3C4A" w:rsidRPr="00703EEA" w:rsidRDefault="007F3C4A" w:rsidP="007F3C4A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Joint Training on Numerical Modelling of Highly- flexible Structures for Industrial Applications (THREAD) traje do 2023. – partneri na projektu</w:t>
      </w:r>
    </w:p>
    <w:p w14:paraId="52D43490" w14:textId="77777777" w:rsidR="007F3C4A" w:rsidRPr="00703EEA" w:rsidRDefault="007F3C4A" w:rsidP="007F3C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Građevinski fakultet Sveučilišta u Rijeci sudjeluje zajedno s jedanaest drugih europskih sveučilišta u provedbi projekata pod nazivom </w:t>
      </w:r>
      <w:hyperlink r:id="rId5" w:history="1">
        <w:r w:rsidRPr="00703EE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Joint Training on Numerical Modelling of Highly- flexible Structures for Industrial Applications (THREAD)</w:t>
        </w:r>
      </w:hyperlink>
      <w:r w:rsidRPr="00703EEA">
        <w:rPr>
          <w:rFonts w:ascii="Times New Roman" w:hAnsi="Times New Roman" w:cs="Times New Roman"/>
          <w:color w:val="000000"/>
          <w:sz w:val="24"/>
          <w:szCs w:val="24"/>
        </w:rPr>
        <w:t> financiranog iz programa za istraživanje i inovacije Horizon 2020 Europske unije u okviru sporazuma o dodjeli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br/>
        <w:t>bespovratnih sredstava Marie Skłodowska-Curie </w:t>
      </w:r>
      <w:hyperlink r:id="rId6" w:history="1">
        <w:r w:rsidRPr="00703EEA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No. 860124</w:t>
        </w:r>
      </w:hyperlink>
    </w:p>
    <w:p w14:paraId="31F16CD4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Projekt THREAD bavi se mehaničkim modeliranjem, matematičkim formulacijama i numeričkim metodama za vrlo fleksibilne vitke konstrukcije i povezuje inženjere i matematičare u zajedničkim izazovima u industrijskoj primjeni i razvoju softvera slobodnog pristupa. Mladim istraživačima – doktorantima – zaposlenima na projektu bit će omogućen širok pristup lokalnim i umreženim nastavnim aktivnostima koje pokrivaju najnovija istraživačka dostignuća i dodane vještine, kao i uska suradnja s projektnim partnerima iz privrede, koji će provoditi širok program prihvata doktoranata u cilju stjecanja dodatnog inženjerskog iskustva. Na Građevinskome fakultetu Sveučilišta u Rijeci provodit će se istraživački program razvoja novih i efikasnih algoritama za modeliranje problema ponašanja satelitskih antena u uvjetima izloženosti velikim inercijalnim silama i visokim frekvencijama vibracija pri lansiranju. Kao projektni partner iz privrede u istraživanje će biti uključena i Slovenska svemirska agencija Space SI iz Ljubljane, na kojoj će doktorant provesti tri mjeseca, dok će još po mjesec dana doktorant provesti na sveučilištima u Innsbrucku i Liègeu.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Precizno i stabilno će se integrirati jednažbe kretanja definirane na nelinearnim mnogostrukostima i odrediti kontaktne sile između savijenih satelitskih antena i okruženja za vrijeme lansiranja, a dio istraživačkoga programa bavit će se i eksperimentalnom provjerom dobivenih rezultata u potresnom kutku fakultetskoga Laboratorija za konstrukcije. Zaposleniku koji je bio zaposlen na ovom projektu istekao je ugovor o radu. </w:t>
      </w:r>
    </w:p>
    <w:p w14:paraId="15E8C5CD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Ukupni EU proračun projekta iznosi 237.367 EUR, naš fakultet je partner na projektu a glavni koordinatar je Martin Luther University Halle-Wittenberg (Njemačka). Projekt je planiran na izvoru financiranja 51-Pomoći. Razdoblje provedbe projekta 10/2019-10/2023.</w:t>
      </w:r>
    </w:p>
    <w:p w14:paraId="1DF91993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56D68B" w14:textId="77777777" w:rsidR="007F3C4A" w:rsidRPr="00703EEA" w:rsidRDefault="007F3C4A" w:rsidP="007F3C4A">
      <w:pPr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67190E7" w14:textId="77777777" w:rsidR="007F3C4A" w:rsidRPr="00703EEA" w:rsidRDefault="007F3C4A" w:rsidP="007F3C4A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The Career Garden – Building bridges between educational institutions and companies via remote and hybrid</w:t>
      </w:r>
    </w:p>
    <w:p w14:paraId="3DD0B1E1" w14:textId="77777777" w:rsidR="007F3C4A" w:rsidRPr="00703EEA" w:rsidRDefault="007F3C4A" w:rsidP="007F3C4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Voditelj projekta: Institute Francophonia (Nice, France)</w:t>
      </w:r>
    </w:p>
    <w:p w14:paraId="0A44D4EA" w14:textId="77777777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Građevinski fakultet je partner u Erasmus + KA2 projektu „The Career Garden – Building bridges between educational institutions and companies via remote and hybrid internships“, zajedno s još 7 partnera iz 5 zemalja (Francuska, Austrija, Njemačka, Rumunjska, Hrvatska).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Projekt je proizašao iz ograničenih mogućnosti obavljanja stručnih praksi u vrijeme pandemije. Razvila se ideja da se uspostave digitalni formati za stručne prakse učenika i studenata stručnog obrazovanja kroz inovativnu digitalnu platformu i višejezični pristup. Razvijeni obrazovni moduli bit će popraćeni standardima osiguravanja kvalitete. Projekt će omogućiti uključivanje studenata našeg stručnog preddiplomskog studija te promovirati europsku i međunarodnu razmjenu. Razdoblje provedbe projekta je 2021-2023. </w:t>
      </w:r>
      <w:bookmarkStart w:id="3" w:name="_Hlk162267119"/>
      <w:r w:rsidRPr="00703EEA">
        <w:rPr>
          <w:rFonts w:ascii="Times New Roman" w:hAnsi="Times New Roman" w:cs="Times New Roman"/>
          <w:color w:val="000000"/>
          <w:sz w:val="24"/>
          <w:szCs w:val="24"/>
        </w:rPr>
        <w:t>Ukupni EU proračun je 29.825 EUR . Projekt je planiran na izvoru financiranja 51- Pomoći</w:t>
      </w:r>
    </w:p>
    <w:bookmarkEnd w:id="3"/>
    <w:p w14:paraId="0DA8D620" w14:textId="77777777" w:rsidR="007F3C4A" w:rsidRPr="00703EEA" w:rsidRDefault="007F3C4A" w:rsidP="007F3C4A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03EEA">
        <w:rPr>
          <w:rFonts w:ascii="Times New Roman" w:hAnsi="Times New Roman" w:cs="Times New Roman"/>
          <w:b/>
          <w:sz w:val="24"/>
          <w:szCs w:val="24"/>
        </w:rPr>
        <w:t> </w:t>
      </w:r>
      <w:r w:rsidRPr="00703EEA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Exchange of reExtended Reality for Training Green Skills in the</w:t>
      </w:r>
      <w:r w:rsidRPr="00703EEA">
        <w:rPr>
          <w:rFonts w:ascii="Times New Roman" w:hAnsi="Times New Roman" w:cs="Times New Roman"/>
          <w:b/>
          <w:sz w:val="24"/>
          <w:szCs w:val="24"/>
        </w:rPr>
        <w:br/>
      </w:r>
      <w:r w:rsidRPr="00703EEA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Construction sector</w:t>
      </w:r>
      <w:r w:rsidRPr="00703EEA">
        <w:rPr>
          <w:rFonts w:ascii="Times New Roman" w:hAnsi="Times New Roman" w:cs="Times New Roman"/>
          <w:b/>
          <w:sz w:val="24"/>
          <w:szCs w:val="24"/>
        </w:rPr>
        <w:t> </w:t>
      </w:r>
      <w:r w:rsidRPr="00703EEA">
        <w:rPr>
          <w:rStyle w:val="Naglaeno"/>
          <w:rFonts w:ascii="Times New Roman" w:hAnsi="Times New Roman" w:cs="Times New Roman"/>
          <w:b w:val="0"/>
          <w:color w:val="000000"/>
          <w:sz w:val="24"/>
          <w:szCs w:val="24"/>
        </w:rPr>
        <w:t>(XRGREEN.CON)</w:t>
      </w:r>
    </w:p>
    <w:p w14:paraId="212B372F" w14:textId="77777777" w:rsidR="007F3C4A" w:rsidRPr="00703EEA" w:rsidRDefault="007F3C4A" w:rsidP="007F3C4A">
      <w:pPr>
        <w:pStyle w:val="StandardWeb"/>
        <w:shd w:val="clear" w:color="auto" w:fill="FFFFFF"/>
        <w:rPr>
          <w:color w:val="000000"/>
        </w:rPr>
      </w:pPr>
      <w:r w:rsidRPr="00703EEA">
        <w:rPr>
          <w:color w:val="000000"/>
        </w:rPr>
        <w:t>Projekt “ </w:t>
      </w:r>
      <w:r w:rsidRPr="00703EEA">
        <w:rPr>
          <w:rStyle w:val="Naglaeno"/>
          <w:color w:val="000000"/>
        </w:rPr>
        <w:t>Extended Reality for Training Green Skills in the Construction secto</w:t>
      </w:r>
      <w:r w:rsidRPr="00703EEA">
        <w:rPr>
          <w:color w:val="000000"/>
        </w:rPr>
        <w:t>r” odobren je u okviru Ključne aktivnosti 2: Vocational Education and Training.</w:t>
      </w:r>
    </w:p>
    <w:p w14:paraId="11F0CA56" w14:textId="77777777" w:rsidR="007F3C4A" w:rsidRPr="00703EEA" w:rsidRDefault="007F3C4A" w:rsidP="007F3C4A">
      <w:pPr>
        <w:pStyle w:val="StandardWeb"/>
        <w:shd w:val="clear" w:color="auto" w:fill="FFFFFF"/>
        <w:rPr>
          <w:color w:val="000000"/>
        </w:rPr>
      </w:pPr>
      <w:r w:rsidRPr="00703EEA">
        <w:rPr>
          <w:color w:val="000000"/>
        </w:rPr>
        <w:t>XRGREEN.CON ima za cilj promovirati teme kružnog gospodarstva u građevinarstvu, prikazujući primjere, najbolje prakse i učenja kroz obrazovne AR/VR gamificirane simulacije. Projekt će omogućiti zaposlenicima, poslodavcima i dionicima u industriji steći iskustva i prakticirati situacije uživo u virtualnoj simulaciji.</w:t>
      </w:r>
    </w:p>
    <w:p w14:paraId="5D8F0AED" w14:textId="77777777" w:rsidR="007F3C4A" w:rsidRPr="00703EEA" w:rsidRDefault="007F3C4A" w:rsidP="007F3C4A">
      <w:pPr>
        <w:pStyle w:val="StandardWeb"/>
        <w:shd w:val="clear" w:color="auto" w:fill="FFFFFF"/>
        <w:rPr>
          <w:color w:val="000000"/>
        </w:rPr>
      </w:pPr>
      <w:r w:rsidRPr="00703EEA">
        <w:rPr>
          <w:color w:val="000000"/>
        </w:rPr>
        <w:t>Projekt će provoditi ove glavne aktivnosti:</w:t>
      </w:r>
      <w:r w:rsidRPr="00703EEA">
        <w:rPr>
          <w:color w:val="000000"/>
        </w:rPr>
        <w:br/>
        <w:t>1) Definicija potrebnih vještina od strane građevinskih trenera u vezi s temama proširene stvarnosti i zaštite okoliša u građevinskom sektoru.</w:t>
      </w:r>
      <w:r w:rsidRPr="00703EEA">
        <w:rPr>
          <w:color w:val="000000"/>
        </w:rPr>
        <w:br/>
        <w:t>2) Razvoj online i interaktivnog učenja</w:t>
      </w:r>
      <w:r w:rsidRPr="00703EEA">
        <w:rPr>
          <w:color w:val="000000"/>
        </w:rPr>
        <w:br/>
        <w:t>3) Razvoj virtualnih i proširenih scenarija za pripravnike u sektoru povezano sa zelenim temama</w:t>
      </w:r>
      <w:r w:rsidRPr="00703EEA">
        <w:rPr>
          <w:color w:val="000000"/>
        </w:rPr>
        <w:br/>
        <w:t>4) Promicanje zelene i digitalne tranzicije putem XR alata u građevinarstvu</w:t>
      </w:r>
    </w:p>
    <w:p w14:paraId="53A2FD17" w14:textId="77777777" w:rsidR="007F3C4A" w:rsidRPr="00703EEA" w:rsidRDefault="007F3C4A" w:rsidP="007F3C4A">
      <w:pPr>
        <w:pStyle w:val="StandardWeb"/>
        <w:shd w:val="clear" w:color="auto" w:fill="FFFFFF"/>
        <w:rPr>
          <w:color w:val="000000"/>
        </w:rPr>
      </w:pPr>
      <w:r w:rsidRPr="00703EEA">
        <w:rPr>
          <w:color w:val="000000"/>
        </w:rPr>
        <w:br/>
        <w:t>Koordinator projekta je Liepajas Valsts tehnikums (Latvia) dok je naša institucija partner na projektu. Razdoblje provedbe projekta je 10/2023-03/2026. Ukupni EU proračun je 42.450 EUR. Projekt je planiran na izvoru financiranja 51-Pomoći</w:t>
      </w:r>
    </w:p>
    <w:p w14:paraId="2ED430C6" w14:textId="77777777" w:rsidR="007F3C4A" w:rsidRPr="00703EEA" w:rsidRDefault="007F3C4A" w:rsidP="007F3C4A">
      <w:pPr>
        <w:pStyle w:val="StandardWeb"/>
        <w:shd w:val="clear" w:color="auto" w:fill="FFFFFF"/>
        <w:rPr>
          <w:color w:val="000000"/>
        </w:rPr>
      </w:pPr>
    </w:p>
    <w:p w14:paraId="1D5FF878" w14:textId="77777777" w:rsidR="007F3C4A" w:rsidRPr="00703EEA" w:rsidRDefault="007F3C4A" w:rsidP="007F3C4A">
      <w:pPr>
        <w:pStyle w:val="StandardWeb"/>
        <w:numPr>
          <w:ilvl w:val="0"/>
          <w:numId w:val="2"/>
        </w:numPr>
        <w:shd w:val="clear" w:color="auto" w:fill="FFFFFF"/>
        <w:rPr>
          <w:color w:val="000000"/>
        </w:rPr>
      </w:pPr>
      <w:r w:rsidRPr="00703EEA">
        <w:rPr>
          <w:color w:val="000000"/>
        </w:rPr>
        <w:t>OPEN GLASSROOM</w:t>
      </w:r>
    </w:p>
    <w:p w14:paraId="05CBD396" w14:textId="77777777" w:rsidR="007F3C4A" w:rsidRPr="00703EEA" w:rsidRDefault="007F3C4A" w:rsidP="007F3C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Građevinski fakultet je zajedno s 5 europskih sveučilišta dobilo 400.000 eura potpore Erasmus+ Cooperation Partnerships za projekt Open GLASSroom. To će nam omogućiti da postavimo i pokrenemo online platformu za edukaciju o dizajnu i inženjeringu stakla, koja je svima dostupna.</w:t>
      </w:r>
    </w:p>
    <w:p w14:paraId="7780D99C" w14:textId="77777777" w:rsidR="007F3C4A" w:rsidRPr="00703EEA" w:rsidRDefault="007F3C4A" w:rsidP="007F3C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 xml:space="preserve">Unatoč svojoj popularnosti, staklo se još uvijek smatra visoko specijaliziranim materijalom, koji se rijetko poučava na tehničkim sveučilištima i svakako nije na istoj razini kao materijali koji se češće primjenjuju, kao što su čelik, beton i drvo. Razvijanjem zajedničkog nastavnog plana i programa za staklo usmjerenog budućnosti na temelju doprinosa raznolike 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lastRenderedPageBreak/>
        <w:t>međunarodne zajednice stručnjaka za staklo, ovaj Erasmus+ projekt će konsolidirati postojeće znanje i stvoriti sinergiju između studenata, nastavnika, istraživača i stručnjaka u praksi diljem Europe.</w:t>
      </w:r>
    </w:p>
    <w:p w14:paraId="252937C0" w14:textId="77777777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Zajedno ćemo proizvesti visokokvalitetne obrazovne materijale o dizajnu i inženjerstvu stakla, digitalizirati ih i dijeliti kao otvorene obrazovne resurse (OER) na online platformi otvorenog pristupa – Open GLASSroom. Bavit ćemo se temeljnim temama i temama u nastajanju u istraživanju i inovacijama, uključujući održivost stakla u građevinarstvu. Rezultati projekta dijelit će se izvan našeg konzorcija, potičući aktivno sudjelovanje studenata, predavača, istraživača i stručnjaka iz prakse. Projekt je započeo 11/22 te traje do 11/25. Ukupni EU proračun je 32.500 EUR . Projekt je planiran na izvoru financiranja 51- Pomoći.</w:t>
      </w:r>
    </w:p>
    <w:p w14:paraId="394C80D0" w14:textId="77777777" w:rsidR="007F3C4A" w:rsidRPr="00703EEA" w:rsidRDefault="007F3C4A" w:rsidP="007F3C4A">
      <w:pPr>
        <w:pStyle w:val="StandardWeb"/>
        <w:shd w:val="clear" w:color="auto" w:fill="FFFFFF"/>
        <w:spacing w:before="0" w:beforeAutospacing="0"/>
        <w:rPr>
          <w:color w:val="000000"/>
          <w:shd w:val="clear" w:color="auto" w:fill="FFFFFF"/>
        </w:rPr>
      </w:pPr>
    </w:p>
    <w:p w14:paraId="46F69104" w14:textId="77777777" w:rsidR="007F3C4A" w:rsidRPr="00703EEA" w:rsidRDefault="007F3C4A" w:rsidP="007F3C4A">
      <w:pPr>
        <w:pStyle w:val="Odlomakpopisa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Zaštita cjelovitosti konstrukcija u energetici i transportu  – partneri na projektu </w:t>
      </w:r>
    </w:p>
    <w:p w14:paraId="7C261E0A" w14:textId="77777777" w:rsidR="007F3C4A" w:rsidRPr="00703EEA" w:rsidRDefault="007F3C4A" w:rsidP="007F3C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Projekt </w:t>
      </w:r>
      <w:r w:rsidRPr="00703EEA">
        <w:rPr>
          <w:rFonts w:ascii="Times New Roman" w:hAnsi="Times New Roman" w:cs="Times New Roman"/>
          <w:bCs/>
          <w:color w:val="000000"/>
          <w:sz w:val="24"/>
          <w:szCs w:val="24"/>
        </w:rPr>
        <w:t>„Zaštita cjelovitosti konstrukcija u energetici i transportu”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> financiran je iz EUROPSKIH STRUKTURNIH I INVESTICIJSKIH FONDOVA u okviru Poziva “Ulaganje u znanost i inovacije”</w:t>
      </w:r>
    </w:p>
    <w:p w14:paraId="5D5B72CC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Konstrukcije i sustavi postaju sve složeniji, a zahtjevi koji se postavljaju pri projektiranju i eksploataciji u smislu učinkovitosti, sigurnosti i pouzdanosti predstavljaju sve veći izazov. Kao jedan od imperativa, u posljednje vrijeme se nametnula primjena inteligentnih sustava nadzora i upravljanja dinamički opterećenih konstrukcija s ciljem zaštite cjelovitosti konstrukcije, odnosno sprečavanja pojave oštećenja i produljenja životnog vijeka. U projektu se osobito ističu sektori energetike i transporta, za konstrukcije poput vjetroagregata, turbina, generatora, klipnih strojeva, b b gdet dijelova procesnih postrojenja, cestovnih, pružnih i ostalih vozila, transportera i slično. Za projektiranje učinkovitog sustava za zaštitu cjelovitosti konstrukcije nužna je integracija dostignuća fundamentalnih znanosti (teorija automatskog i robusnog upravljanja, numeričke metode u mehanici, optimizacija, itd.), primjena i integracija suvremenih tehnologija (upravljački i mjerni sustavi), ispitivanja i znanost o materijalima, te srodnih područja.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Navedena polja predstavljaju uža područja istraživanja projekta, a ponajviše „Centra izvrsnosti za procjenu stanja konstrukcija“ osnovanog u okviru projekta „Centre of Excellence for Structural Health“ (CEEStructHealth), te specijaliziranih laboratorija unutar organizacija prijavitelja i partnera. </w:t>
      </w:r>
      <w:r w:rsidRPr="00703EEA">
        <w:rPr>
          <w:rFonts w:ascii="Times New Roman" w:hAnsi="Times New Roman" w:cs="Times New Roman"/>
          <w:bCs/>
          <w:color w:val="000000"/>
          <w:sz w:val="24"/>
          <w:szCs w:val="24"/>
        </w:rPr>
        <w:t>Voditelj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 xml:space="preserve"> jeSveučilište u Zagrebu, Fakultet strojarstva i brodogradnje.</w:t>
      </w:r>
    </w:p>
    <w:p w14:paraId="184FDE0B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060EFB" w14:textId="77777777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Razdoblje provedbe projekta: 4/2020-4/2023, projekt je formalno završio te se u 2024. godini čeka isplata po zadnjem izvješću.  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>Ukupni EU proračun je 67.555 EUR . Projekt je planiran na izvoru financiranja 52- Ostale pomoći.</w:t>
      </w:r>
    </w:p>
    <w:p w14:paraId="42799BDC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E5D173F" w14:textId="77777777" w:rsidR="007F3C4A" w:rsidRPr="00703EEA" w:rsidRDefault="007F3C4A" w:rsidP="007F3C4A">
      <w:pPr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Primjenjena istraživanja klizišta za razvoj mjera ublažavanja i prevencije rizika (PRI-MJER)  – partneri na projektu </w:t>
      </w:r>
    </w:p>
    <w:p w14:paraId="64519AEF" w14:textId="77777777" w:rsidR="007F3C4A" w:rsidRPr="00703EEA" w:rsidRDefault="007F3C4A" w:rsidP="007F3C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Projekt </w:t>
      </w:r>
      <w:r w:rsidRPr="00703EEA">
        <w:rPr>
          <w:rFonts w:ascii="Times New Roman" w:hAnsi="Times New Roman" w:cs="Times New Roman"/>
          <w:bCs/>
          <w:color w:val="000000"/>
          <w:sz w:val="24"/>
          <w:szCs w:val="24"/>
        </w:rPr>
        <w:t>„Primijenjena istraživanja klizišta za razvoj mjera ublažavanja i prevencije rizika” (PRI-MJER)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> financiran je iz EU fonda za regionalni razvoj u okviru Poziva “Shema za jačanje primjenjenih istraživanja za mjere prilagodbe klimatskim promjenama”</w:t>
      </w:r>
    </w:p>
    <w:p w14:paraId="29B1B4DE" w14:textId="77777777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 xml:space="preserve">Projekt „PRI-MJER“ uvodi koncept mjera prilagodbe klimatskim promjenama za ublažavanje i prevenciju rizika od klizanja te se sustavno bavi i istraživanjem načina i elaboriranjem prednosti njihove primjene. Projekt promovira koncept smanjenja rizika od klizišta na način da će osigurati alate i znanje neophodno donosiocima odluka svih razina. Projektom će se također podići svijest javnosti o klimatskim promjenama, omogućit će se javna dostupnost rezultata istraživanja te će se ojačati kapaciteti istraživača. </w:t>
      </w:r>
      <w:r w:rsidRPr="00703EEA">
        <w:rPr>
          <w:rFonts w:ascii="Times New Roman" w:hAnsi="Times New Roman" w:cs="Times New Roman"/>
          <w:bCs/>
          <w:color w:val="000000"/>
          <w:sz w:val="24"/>
          <w:szCs w:val="24"/>
        </w:rPr>
        <w:t>Voditelj je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 xml:space="preserve"> Sveučilište u Zagrebu, Rudarsko- geološko- naftni fakultet, a naš fakultet je partner na projektu.</w:t>
      </w:r>
      <w:r w:rsidRPr="00703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Razdoblje provedbe projekta: 5/2020-5/2023.Projekt je također završio i u ovoj godini je bilo još dosta aktivnosti kako bi se uspješno završio. 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>Ukupni EU proračun je 53.846 EUR . Projekt je planiran na izvoru financiranja 52- Ostale pomoći.</w:t>
      </w:r>
    </w:p>
    <w:p w14:paraId="21746DA9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A9FAB0A" w14:textId="3CAB1B20" w:rsidR="007F3C4A" w:rsidRPr="00703EEA" w:rsidRDefault="007F3C4A" w:rsidP="007F3C4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703EEA">
        <w:rPr>
          <w:rFonts w:ascii="Times New Roman" w:hAnsi="Times New Roman" w:cs="Times New Roman"/>
          <w:sz w:val="24"/>
          <w:szCs w:val="24"/>
        </w:rPr>
        <w:t xml:space="preserve">  </w:t>
      </w:r>
      <w:r w:rsidR="004F3077">
        <w:rPr>
          <w:rFonts w:ascii="Times New Roman" w:hAnsi="Times New Roman" w:cs="Times New Roman"/>
          <w:sz w:val="24"/>
          <w:szCs w:val="24"/>
        </w:rPr>
        <w:t>7</w:t>
      </w:r>
      <w:r w:rsidRPr="00703EEA">
        <w:rPr>
          <w:rFonts w:ascii="Times New Roman" w:hAnsi="Times New Roman" w:cs="Times New Roman"/>
          <w:sz w:val="24"/>
          <w:szCs w:val="24"/>
        </w:rPr>
        <w:t>.</w:t>
      </w:r>
      <w:r w:rsidRPr="00703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Predgotovljene zgrade nulte energije proizvedene na industrijski način traje do 2023. – partneri na projektu.</w:t>
      </w:r>
    </w:p>
    <w:p w14:paraId="2A714C6A" w14:textId="77777777" w:rsidR="007F3C4A" w:rsidRPr="00703EEA" w:rsidRDefault="007F3C4A" w:rsidP="007F3C4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>Projekt </w:t>
      </w:r>
      <w:r w:rsidRPr="00703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</w:t>
      </w:r>
      <w:r w:rsidRPr="00703EEA">
        <w:rPr>
          <w:rFonts w:ascii="Times New Roman" w:hAnsi="Times New Roman" w:cs="Times New Roman"/>
          <w:bCs/>
          <w:color w:val="000000"/>
          <w:sz w:val="24"/>
          <w:szCs w:val="24"/>
        </w:rPr>
        <w:t>Predgotovljene zgrade gotovo nulte energije proizvedene na industrijski način”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> financiran je iz EU strukturnih i investicijskih fondova u okviru Poziva “Povećanj razvoja novih proizvoda i usluga koji proizlaze iz aktivnosti istraživanja i razvoja- faza II”.</w:t>
      </w:r>
    </w:p>
    <w:p w14:paraId="578D57AC" w14:textId="77777777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color w:val="000000"/>
          <w:sz w:val="24"/>
          <w:szCs w:val="24"/>
        </w:rPr>
        <w:t xml:space="preserve">Svrha projekta je jačanje inovativnosti i međunarodne konkurentnosti TEHNOPLAST PROFILI i Partnera razvojem novog inovativnog proizvoda – Predgotovljene zgrade gotovo nulte energije proizvedene na industrijski način, kao rezultat IRI djelatnosti u okviru provedbe suradničkog istraživanja Tehnoplast profili d.o.o. te Palijan d.o.o., i Građevinskog fakulteta u Rijeci. Realizacija projekta će doprinijeti i jačanju istraživačkih kapaciteta Tehnoplast profili d.o.o. te Palijan d.o.o., i Građevinskog fakulteta u Rijeci, te poticanje njihove učinkovite suradnje u provedbi ciljanih ulaganja u IRI aktivnosti u TPP Energija i okoliš. Očekivani rezultat IR aktivnosti predstavlja novi iskorak u području istraživanja i razvoja uz primjenu novih i postojećih znanja i vještina za razvoj novog proizvoda. Konkretan rezultat istraživanja i razvoja biti će proračunski model otpornosti kompozitnih panela opterećenih na savijanje i poprečnu silu, te otpornosti priključka stropni panel – zidni panel opterećenih na poprečnu silu. Rezultati ovih istraživanja predstavljaju novi iskorak i prekretnicu u građenju. Voditelj je TEHNOPLASTPROFILI d.o.o. a mi smo partneri na projektu. </w:t>
      </w:r>
      <w:r w:rsidRPr="00703E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Razdoblje provedbe projekta: 8/2020-8/2023. </w:t>
      </w:r>
      <w:r w:rsidRPr="00703EEA">
        <w:rPr>
          <w:rFonts w:ascii="Times New Roman" w:hAnsi="Times New Roman" w:cs="Times New Roman"/>
          <w:color w:val="000000"/>
          <w:sz w:val="24"/>
          <w:szCs w:val="24"/>
        </w:rPr>
        <w:t>Ukupni EU proračun je 152.703 EUR . Projekt je planiran na izvoru financiranja 61- Donacije.</w:t>
      </w:r>
    </w:p>
    <w:p w14:paraId="6469412A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5E6BD" w14:textId="10CF8C8B" w:rsidR="007F3C4A" w:rsidRPr="008D4FDA" w:rsidRDefault="008D4FDA" w:rsidP="00157430">
      <w:pPr>
        <w:pStyle w:val="Odlomakpopisa"/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7430">
        <w:rPr>
          <w:rFonts w:ascii="Times New Roman" w:hAnsi="Times New Roman" w:cs="Times New Roman"/>
          <w:color w:val="000000"/>
        </w:rPr>
        <w:t>“</w:t>
      </w:r>
      <w:r w:rsidRPr="008D4FDA">
        <w:rPr>
          <w:rStyle w:val="Naglaen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Improving landslide risk prevention and management in coastal areas” </w:t>
      </w:r>
      <w:r w:rsidRPr="008D4F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(RESONANCE) </w:t>
      </w:r>
      <w:r w:rsidRPr="008D4FDA">
        <w:rPr>
          <w:rFonts w:ascii="Times New Roman" w:hAnsi="Times New Roman" w:cs="Times New Roman"/>
          <w:color w:val="000000"/>
          <w:sz w:val="24"/>
          <w:szCs w:val="24"/>
        </w:rPr>
        <w:t>partneri na projektu</w:t>
      </w:r>
    </w:p>
    <w:p w14:paraId="67BC8C56" w14:textId="77777777" w:rsidR="00166C3F" w:rsidRPr="00166C3F" w:rsidRDefault="00166C3F" w:rsidP="00166C3F">
      <w:pPr>
        <w:pStyle w:val="Odlomakpopisa"/>
        <w:shd w:val="clear" w:color="auto" w:fill="FFFFFF"/>
        <w:spacing w:after="100" w:afterAutospacing="1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7C4448" w14:textId="77777777" w:rsidR="00166C3F" w:rsidRPr="00157430" w:rsidRDefault="00166C3F" w:rsidP="00166C3F">
      <w:pPr>
        <w:pStyle w:val="StandardWeb"/>
        <w:shd w:val="clear" w:color="auto" w:fill="FFFFFF"/>
        <w:rPr>
          <w:color w:val="000000"/>
        </w:rPr>
      </w:pPr>
      <w:r w:rsidRPr="00157430">
        <w:rPr>
          <w:color w:val="000000"/>
        </w:rPr>
        <w:t>EU projekt (Interreg Italy – Croatia) pod naslovom “</w:t>
      </w:r>
      <w:r w:rsidRPr="00157430">
        <w:rPr>
          <w:rStyle w:val="Naglaeno"/>
          <w:color w:val="000000"/>
        </w:rPr>
        <w:t>Improving landslide risk prevention and management in coastal areas” </w:t>
      </w:r>
      <w:r w:rsidRPr="00157430">
        <w:rPr>
          <w:color w:val="000000"/>
        </w:rPr>
        <w:t>(RESONANCE) financiran je iz EU programa</w:t>
      </w:r>
      <w:r>
        <w:rPr>
          <w:rFonts w:ascii="Source Sans Pro" w:hAnsi="Source Sans Pro"/>
          <w:color w:val="000000"/>
        </w:rPr>
        <w:t xml:space="preserve"> </w:t>
      </w:r>
      <w:r w:rsidRPr="00157430">
        <w:rPr>
          <w:color w:val="000000"/>
        </w:rPr>
        <w:lastRenderedPageBreak/>
        <w:t>prekogranične suradnje Interreg Italija – Hrvatska 2021 – 2027 u okviru programskog prioriteta “Green and resilient shared environment”.</w:t>
      </w:r>
    </w:p>
    <w:p w14:paraId="5E547943" w14:textId="77777777" w:rsidR="00166C3F" w:rsidRPr="00157430" w:rsidRDefault="00166C3F" w:rsidP="00166C3F">
      <w:pPr>
        <w:pStyle w:val="StandardWeb"/>
        <w:shd w:val="clear" w:color="auto" w:fill="FFFFFF"/>
        <w:rPr>
          <w:color w:val="000000"/>
        </w:rPr>
      </w:pPr>
      <w:r w:rsidRPr="00157430">
        <w:rPr>
          <w:color w:val="000000"/>
        </w:rPr>
        <w:t>Klizišta i erozivni procesi predstavljaju važan rizik za ljude i infrastrukturu na obalnim područjima jadranske regije, a mogli bi predstavljati i negativan utjecaj na turizam i regionalno gospodarstvo. RESONANCE ima za cilj na temelju postojećih napredaka na poljima geofizike, daljinskog istraživanja, računalstva i virtualne proširene stvarnosti, smanjiti rizik za ljude i infrastrukturu poboljšanjem razumijevanja čimbenika koji kontroliraju obalna klizišta i erozijske procese, a ujedno pružiti i nove smjernice za upravljanje hidrogeološkim rizikom u obalnom području Jadrana.</w:t>
      </w:r>
    </w:p>
    <w:p w14:paraId="69BCE9F6" w14:textId="77777777" w:rsidR="00166C3F" w:rsidRPr="00157430" w:rsidRDefault="00166C3F" w:rsidP="00166C3F">
      <w:pPr>
        <w:pStyle w:val="StandardWeb"/>
        <w:shd w:val="clear" w:color="auto" w:fill="FFFFFF"/>
        <w:rPr>
          <w:color w:val="000000"/>
        </w:rPr>
      </w:pPr>
      <w:r w:rsidRPr="00157430">
        <w:rPr>
          <w:color w:val="000000"/>
        </w:rPr>
        <w:t>Dvije lokacije hrvatske obale (Primorsko-goranska i Istarska županija) koristiti će se kao pilot područja na kojima će se razviti multidisciplinarni i viševremenski sustav istraživanja obala, kako bi se potencijalno predvidjeli budući procesi ovisni o klimatskim varijacijama, te izradile karte ranjivosti i rizika analiziranih područja. Jedan od rezultata bit će i virtualna baza podataka u svrhu promicanja suradnje i komunikacije između tijela javne vlasti, istraživačkih institucija i drugih dionika uključenih u upravljanje rizikom od klizišta i operacije civilne zaštite.</w:t>
      </w:r>
    </w:p>
    <w:p w14:paraId="0F686E6B" w14:textId="77777777" w:rsidR="00166C3F" w:rsidRPr="00157430" w:rsidRDefault="00166C3F" w:rsidP="00166C3F">
      <w:pPr>
        <w:pStyle w:val="StandardWeb"/>
        <w:shd w:val="clear" w:color="auto" w:fill="FFFFFF"/>
        <w:rPr>
          <w:color w:val="000000"/>
        </w:rPr>
      </w:pPr>
      <w:r w:rsidRPr="00157430">
        <w:rPr>
          <w:rStyle w:val="Naglaeno"/>
          <w:color w:val="000000"/>
        </w:rPr>
        <w:t>Vodeći partner</w:t>
      </w:r>
      <w:r w:rsidRPr="00157430">
        <w:rPr>
          <w:color w:val="000000"/>
        </w:rPr>
        <w:t>: University of Urbino “Carlo Bo” (Italija)</w:t>
      </w:r>
      <w:r w:rsidRPr="00157430">
        <w:rPr>
          <w:color w:val="000000"/>
        </w:rPr>
        <w:br/>
      </w:r>
      <w:r w:rsidRPr="00157430">
        <w:rPr>
          <w:rStyle w:val="Naglaeno"/>
          <w:color w:val="000000"/>
        </w:rPr>
        <w:t>Partner</w:t>
      </w:r>
      <w:r w:rsidRPr="00157430">
        <w:rPr>
          <w:color w:val="000000"/>
        </w:rPr>
        <w:t>: Građevinski fakultet u Rijeci (izv. prof. dr. sc. Igor Ružić)</w:t>
      </w:r>
    </w:p>
    <w:p w14:paraId="3460AF80" w14:textId="77777777" w:rsidR="00166C3F" w:rsidRPr="00157430" w:rsidRDefault="00166C3F" w:rsidP="00166C3F">
      <w:pPr>
        <w:pStyle w:val="StandardWeb"/>
        <w:shd w:val="clear" w:color="auto" w:fill="FFFFFF"/>
        <w:rPr>
          <w:color w:val="000000"/>
        </w:rPr>
      </w:pPr>
      <w:r w:rsidRPr="00157430">
        <w:rPr>
          <w:rStyle w:val="Naglaeno"/>
          <w:color w:val="000000"/>
        </w:rPr>
        <w:t>Razdoblje provedbe projekta</w:t>
      </w:r>
      <w:r w:rsidRPr="00157430">
        <w:rPr>
          <w:color w:val="000000"/>
        </w:rPr>
        <w:t>: 3/2024-8/2026</w:t>
      </w:r>
    </w:p>
    <w:p w14:paraId="485F91E8" w14:textId="2FB354D6" w:rsidR="00166C3F" w:rsidRPr="00157430" w:rsidRDefault="00166C3F" w:rsidP="00157430">
      <w:pPr>
        <w:pStyle w:val="StandardWeb"/>
        <w:shd w:val="clear" w:color="auto" w:fill="FFFFFF"/>
        <w:rPr>
          <w:color w:val="000000"/>
        </w:rPr>
      </w:pPr>
      <w:r w:rsidRPr="00157430">
        <w:rPr>
          <w:rStyle w:val="Naglaeno"/>
          <w:color w:val="000000"/>
        </w:rPr>
        <w:t>Budžet</w:t>
      </w:r>
      <w:r w:rsidRPr="00157430">
        <w:rPr>
          <w:color w:val="000000"/>
        </w:rPr>
        <w:t xml:space="preserve">: </w:t>
      </w:r>
      <w:r w:rsidR="008D4FDA">
        <w:rPr>
          <w:color w:val="000000"/>
        </w:rPr>
        <w:t>260.271,50 (80% sufinanciranje ERDF 208.271,20)</w:t>
      </w:r>
    </w:p>
    <w:p w14:paraId="51FDC13E" w14:textId="77777777" w:rsidR="007F3C4A" w:rsidRPr="00703EEA" w:rsidRDefault="007F3C4A" w:rsidP="007F3C4A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EB378D" w14:textId="2EFE4769" w:rsidR="007F3C4A" w:rsidRPr="00ED478A" w:rsidRDefault="008D4FDA" w:rsidP="004F3077">
      <w:pPr>
        <w:pStyle w:val="Odlomakpopisa"/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47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Climate RESiliEnt COastal planning in Adriatic (CRESCO Adria) </w:t>
      </w:r>
    </w:p>
    <w:p w14:paraId="34491972" w14:textId="6502D2CF" w:rsidR="008D4FDA" w:rsidRPr="008D4FDA" w:rsidRDefault="008D4FDA" w:rsidP="008D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 cilj projekta temelji se na EU i nacionalnim dokumentima koji se bave prilagodbom na klimatske promjene i upravljanjem obalnim područjima. Cilj je unaprijediti kapacitete urbanih i obalnih zajednica na Jadranu za prilagodbu klimatskim promjenama, uključujući klimatski otporno prostorno planiranje i cjeloživotno učenje. Projekt će izraditi planove prilagodbe za odabrane lokalne zajednice. </w:t>
      </w:r>
    </w:p>
    <w:p w14:paraId="73620D04" w14:textId="77777777" w:rsidR="008D4FDA" w:rsidRPr="008D4FDA" w:rsidRDefault="008D4FDA" w:rsidP="008D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Očekivani rezultati:</w:t>
      </w:r>
    </w:p>
    <w:p w14:paraId="139A5428" w14:textId="77777777" w:rsidR="008D4FDA" w:rsidRPr="008D4FDA" w:rsidRDefault="008D4FDA" w:rsidP="008D4FDA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Strateške smjernice za klimatski otporno prostorno planiranje</w:t>
      </w:r>
    </w:p>
    <w:p w14:paraId="229B4632" w14:textId="77777777" w:rsidR="008D4FDA" w:rsidRPr="008D4FDA" w:rsidRDefault="008D4FDA" w:rsidP="008D4FDA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Visokoobrazovni kurikulum za klimatsku tranziciju</w:t>
      </w:r>
    </w:p>
    <w:p w14:paraId="39E0A077" w14:textId="77777777" w:rsidR="008D4FDA" w:rsidRPr="008D4FDA" w:rsidRDefault="008D4FDA" w:rsidP="008D4FDA">
      <w:pPr>
        <w:numPr>
          <w:ilvl w:val="0"/>
          <w:numId w:val="6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Planovi prilagodbe za odabrana područja (Crikvenica, Sali)</w:t>
      </w:r>
    </w:p>
    <w:p w14:paraId="7978C6D3" w14:textId="77777777" w:rsidR="008D4FDA" w:rsidRPr="008D4FDA" w:rsidRDefault="008D4FDA" w:rsidP="008D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Koordinator projekta je Sveučilište u Rijeci, Ekonomski fakultet, a partneri su Zavod za prostorno uređenje PGŽ, Građevinski fakultet u Rijeci, Općina Sali, Grad Crikvenica, Regija Abruzzo, Sveučilište Camerino.</w:t>
      </w:r>
    </w:p>
    <w:p w14:paraId="29708570" w14:textId="77777777" w:rsidR="008D4FDA" w:rsidRPr="008D4FDA" w:rsidRDefault="008D4FDA" w:rsidP="008D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Partner</w:t>
      </w: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Građevinski fakultet u Rijeci (izv. prof. dr. sc. Iva Mrak)</w:t>
      </w:r>
    </w:p>
    <w:p w14:paraId="5CBBEC08" w14:textId="77777777" w:rsidR="008D4FDA" w:rsidRPr="008D4FDA" w:rsidRDefault="008D4FDA" w:rsidP="008D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Razdoblje provedbe projekta</w:t>
      </w: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 4/2024-9/2026</w:t>
      </w:r>
    </w:p>
    <w:p w14:paraId="305AE0A6" w14:textId="10FC26D5" w:rsidR="008D4FDA" w:rsidRDefault="008D4FDA" w:rsidP="008D4F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D4F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Budžet</w:t>
      </w: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387.098,00</w:t>
      </w: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(80% sufinanciranje ERDF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309.678,40</w:t>
      </w:r>
      <w:r w:rsidRPr="008D4FD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</w:p>
    <w:p w14:paraId="346A8129" w14:textId="7D2B8ACE" w:rsidR="00ED478A" w:rsidRDefault="00ED478A" w:rsidP="00ED478A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Suradnja preko Sveučilišta u Rijeci</w:t>
      </w:r>
      <w:r w:rsidR="00D70EF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BLUE CONNECT</w:t>
      </w:r>
    </w:p>
    <w:p w14:paraId="1976126F" w14:textId="77777777" w:rsidR="00ED478A" w:rsidRDefault="00ED478A" w:rsidP="00ED478A">
      <w:pPr>
        <w:pStyle w:val="Odlomakpopisa"/>
        <w:shd w:val="clear" w:color="auto" w:fill="FFFFFF"/>
        <w:spacing w:before="100" w:beforeAutospacing="1" w:after="100" w:afterAutospacing="1" w:line="240" w:lineRule="auto"/>
        <w:ind w:left="643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45C814C" w14:textId="793770FF" w:rsidR="00ED478A" w:rsidRPr="00703EEA" w:rsidRDefault="00ED478A" w:rsidP="00ED478A">
      <w:p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Tijekom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03EEA">
        <w:rPr>
          <w:rFonts w:ascii="Times New Roman" w:hAnsi="Times New Roman" w:cs="Times New Roman"/>
          <w:sz w:val="24"/>
          <w:szCs w:val="24"/>
        </w:rPr>
        <w:t>. godine Građevinski fakultet</w:t>
      </w:r>
      <w:r>
        <w:rPr>
          <w:rFonts w:ascii="Times New Roman" w:hAnsi="Times New Roman" w:cs="Times New Roman"/>
          <w:sz w:val="24"/>
          <w:szCs w:val="24"/>
        </w:rPr>
        <w:t xml:space="preserve"> je od Sveučilišta u Rijeci dobio uplatu od 252,00 eura iz Evropskih fondova za unapređenje nastave te nam proslijedio</w:t>
      </w:r>
      <w:r w:rsidRPr="00703EE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Uplata je utrošena u svrhu za koju je namijenjena.</w:t>
      </w:r>
    </w:p>
    <w:p w14:paraId="65584EE4" w14:textId="6CD89F78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</w:p>
    <w:p w14:paraId="4D6AB7AD" w14:textId="11BB4810" w:rsidR="007F3C4A" w:rsidRPr="00703EEA" w:rsidRDefault="007F3C4A" w:rsidP="007F3C4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IZVJEŠTAJ O DANIM ZAJMOVIMA I POTRAŽIVANJIMA PO DANIM ZAJMOVINA</w:t>
      </w:r>
    </w:p>
    <w:p w14:paraId="58C83766" w14:textId="01DE925C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  <w:bookmarkStart w:id="4" w:name="_Hlk193535806"/>
      <w:r w:rsidRPr="00703EEA">
        <w:rPr>
          <w:rFonts w:ascii="Times New Roman" w:hAnsi="Times New Roman" w:cs="Times New Roman"/>
          <w:sz w:val="24"/>
          <w:szCs w:val="24"/>
        </w:rPr>
        <w:t>Tijekom 202</w:t>
      </w:r>
      <w:r w:rsidR="009C57E3">
        <w:rPr>
          <w:rFonts w:ascii="Times New Roman" w:hAnsi="Times New Roman" w:cs="Times New Roman"/>
          <w:sz w:val="24"/>
          <w:szCs w:val="24"/>
        </w:rPr>
        <w:t>4</w:t>
      </w:r>
      <w:r w:rsidRPr="00703EEA">
        <w:rPr>
          <w:rFonts w:ascii="Times New Roman" w:hAnsi="Times New Roman" w:cs="Times New Roman"/>
          <w:sz w:val="24"/>
          <w:szCs w:val="24"/>
        </w:rPr>
        <w:t>. godine Građevinski fakultet nema danih zajmova niti potraživanja po danim zajmovima.</w:t>
      </w:r>
    </w:p>
    <w:bookmarkEnd w:id="4"/>
    <w:p w14:paraId="56BABF15" w14:textId="5541792C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</w:p>
    <w:p w14:paraId="4BD26014" w14:textId="5B125690" w:rsidR="007F3C4A" w:rsidRPr="00703EEA" w:rsidRDefault="007F3C4A" w:rsidP="007F3C4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03EEA">
        <w:rPr>
          <w:rFonts w:ascii="Times New Roman" w:hAnsi="Times New Roman" w:cs="Times New Roman"/>
          <w:sz w:val="24"/>
          <w:szCs w:val="24"/>
        </w:rPr>
        <w:t>IZVJEŠTAJ O STANJU POTRAŽIVANJA I DOSPJELIH OBVEZA TE O STANJU POTENCIJALNIH OBVEZA PO OSNOVI SUDSKIH SPOROVA</w:t>
      </w:r>
    </w:p>
    <w:p w14:paraId="698FC493" w14:textId="53F70E30" w:rsidR="007F3C4A" w:rsidRPr="00703EEA" w:rsidRDefault="007F3C4A" w:rsidP="007F3C4A">
      <w:pPr>
        <w:rPr>
          <w:rFonts w:ascii="Times New Roman" w:hAnsi="Times New Roman" w:cs="Times New Roman"/>
          <w:sz w:val="24"/>
          <w:szCs w:val="24"/>
        </w:rPr>
      </w:pPr>
    </w:p>
    <w:p w14:paraId="30C441C8" w14:textId="299DFD1B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Stanje </w:t>
      </w:r>
      <w:r w:rsidR="006045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ukupnih i dospjelih potraživanja </w:t>
      </w: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na dan 31.12.202</w:t>
      </w:r>
      <w:r w:rsidR="00E17ED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izgleda kako slijedi:</w:t>
      </w:r>
    </w:p>
    <w:p w14:paraId="741C7483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1"/>
        <w:gridCol w:w="2265"/>
      </w:tblGrid>
      <w:tr w:rsidR="007F3C4A" w:rsidRPr="00703EEA" w14:paraId="087F7E8B" w14:textId="77777777" w:rsidTr="006045A5">
        <w:trPr>
          <w:trHeight w:val="367"/>
        </w:trPr>
        <w:tc>
          <w:tcPr>
            <w:tcW w:w="3731" w:type="pct"/>
            <w:shd w:val="clear" w:color="auto" w:fill="FFFFCC"/>
            <w:noWrap/>
            <w:vAlign w:val="bottom"/>
          </w:tcPr>
          <w:p w14:paraId="02AEC426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5" w:name="_Hlk158296095"/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potraživanja</w:t>
            </w:r>
          </w:p>
        </w:tc>
        <w:tc>
          <w:tcPr>
            <w:tcW w:w="1269" w:type="pct"/>
            <w:shd w:val="clear" w:color="auto" w:fill="FFFFCC"/>
          </w:tcPr>
          <w:p w14:paraId="05A79158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7F3C4A" w:rsidRPr="00703EEA" w14:paraId="2BE36C93" w14:textId="77777777" w:rsidTr="006045A5">
        <w:trPr>
          <w:trHeight w:val="182"/>
        </w:trPr>
        <w:tc>
          <w:tcPr>
            <w:tcW w:w="3731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1E264CFE" w14:textId="3DBB490A" w:rsidR="007F3C4A" w:rsidRPr="00703EEA" w:rsidRDefault="006045A5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Ukupna potraživanja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E6460D4" w14:textId="2B220DDA" w:rsidR="007F3C4A" w:rsidRPr="00703EEA" w:rsidRDefault="006045A5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7ED5">
              <w:rPr>
                <w:rFonts w:ascii="Times New Roman" w:hAnsi="Times New Roman" w:cs="Times New Roman"/>
                <w:sz w:val="24"/>
                <w:szCs w:val="24"/>
              </w:rPr>
              <w:t>41.635,91</w:t>
            </w:r>
          </w:p>
        </w:tc>
      </w:tr>
      <w:tr w:rsidR="007F3C4A" w:rsidRPr="00703EEA" w14:paraId="1A7E5C68" w14:textId="77777777" w:rsidTr="006045A5">
        <w:trPr>
          <w:trHeight w:val="176"/>
        </w:trPr>
        <w:tc>
          <w:tcPr>
            <w:tcW w:w="3731" w:type="pct"/>
            <w:shd w:val="clear" w:color="auto" w:fill="FFFFFF"/>
            <w:noWrap/>
            <w:vAlign w:val="bottom"/>
          </w:tcPr>
          <w:p w14:paraId="4EC908C9" w14:textId="1B4F0EDD" w:rsidR="007F3C4A" w:rsidRPr="00703EEA" w:rsidRDefault="006045A5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Dospjela potraživanja</w:t>
            </w:r>
          </w:p>
        </w:tc>
        <w:tc>
          <w:tcPr>
            <w:tcW w:w="1269" w:type="pct"/>
            <w:shd w:val="clear" w:color="auto" w:fill="FFFFFF"/>
            <w:vAlign w:val="center"/>
          </w:tcPr>
          <w:p w14:paraId="1162E881" w14:textId="544E071F" w:rsidR="007F3C4A" w:rsidRPr="00703EEA" w:rsidRDefault="006045A5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DE9">
              <w:rPr>
                <w:rFonts w:ascii="Times New Roman" w:hAnsi="Times New Roman" w:cs="Times New Roman"/>
                <w:sz w:val="24"/>
                <w:szCs w:val="24"/>
              </w:rPr>
              <w:t>22.945,34</w:t>
            </w:r>
          </w:p>
        </w:tc>
      </w:tr>
      <w:bookmarkEnd w:id="5"/>
    </w:tbl>
    <w:p w14:paraId="42C7275B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E29AF6" w14:textId="183A08D2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3E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Od ukupnog iznosa potraživanja </w:t>
      </w:r>
      <w:r w:rsidR="006045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koja su dospjela većina se odnosi na školarine koje su plaćene početkom 202</w:t>
      </w:r>
      <w:r w:rsidR="009C57E3">
        <w:rPr>
          <w:rFonts w:ascii="Times New Roman" w:eastAsia="Times New Roman" w:hAnsi="Times New Roman" w:cs="Times New Roman"/>
          <w:sz w:val="24"/>
          <w:szCs w:val="24"/>
          <w:lang w:eastAsia="en-GB"/>
        </w:rPr>
        <w:t>5</w:t>
      </w:r>
      <w:r w:rsidR="006045A5">
        <w:rPr>
          <w:rFonts w:ascii="Times New Roman" w:eastAsia="Times New Roman" w:hAnsi="Times New Roman" w:cs="Times New Roman"/>
          <w:sz w:val="24"/>
          <w:szCs w:val="24"/>
          <w:lang w:eastAsia="en-GB"/>
        </w:rPr>
        <w:t>. godini.</w:t>
      </w:r>
    </w:p>
    <w:p w14:paraId="4E5FB738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904AFBE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D6E20A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AA878D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1F17F9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5E766BB" w14:textId="5F326AD0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Stanje </w:t>
      </w:r>
      <w:r w:rsidR="006045A5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ukupnih i dospjelih </w:t>
      </w: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obveza na dan 31.12.202</w:t>
      </w:r>
      <w:r w:rsidR="009C57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 izgleda kako slijedi:</w:t>
      </w:r>
    </w:p>
    <w:p w14:paraId="195CBB0D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1"/>
        <w:gridCol w:w="2265"/>
      </w:tblGrid>
      <w:tr w:rsidR="007F3C4A" w:rsidRPr="00703EEA" w14:paraId="78227731" w14:textId="77777777" w:rsidTr="00227560">
        <w:trPr>
          <w:trHeight w:val="463"/>
        </w:trPr>
        <w:tc>
          <w:tcPr>
            <w:tcW w:w="3731" w:type="pct"/>
            <w:shd w:val="clear" w:color="auto" w:fill="FFFFCC"/>
            <w:noWrap/>
            <w:vAlign w:val="bottom"/>
          </w:tcPr>
          <w:p w14:paraId="15808E28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Obveze</w:t>
            </w:r>
          </w:p>
        </w:tc>
        <w:tc>
          <w:tcPr>
            <w:tcW w:w="1269" w:type="pct"/>
            <w:shd w:val="clear" w:color="auto" w:fill="FFFFCC"/>
          </w:tcPr>
          <w:p w14:paraId="7FDA635A" w14:textId="77777777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7F3C4A" w:rsidRPr="00703EEA" w14:paraId="675E41C6" w14:textId="77777777" w:rsidTr="00227560">
        <w:trPr>
          <w:trHeight w:val="176"/>
        </w:trPr>
        <w:tc>
          <w:tcPr>
            <w:tcW w:w="3731" w:type="pct"/>
            <w:tcBorders>
              <w:bottom w:val="single" w:sz="4" w:space="0" w:color="auto"/>
            </w:tcBorders>
            <w:shd w:val="clear" w:color="auto" w:fill="FFFFFF"/>
            <w:noWrap/>
            <w:vAlign w:val="bottom"/>
          </w:tcPr>
          <w:p w14:paraId="5D438A9C" w14:textId="00F83E4B" w:rsidR="007F3C4A" w:rsidRPr="00703EEA" w:rsidRDefault="00EB562D" w:rsidP="00227560">
            <w:pPr>
              <w:spacing w:before="60" w:after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Ukupne obveze</w:t>
            </w:r>
          </w:p>
        </w:tc>
        <w:tc>
          <w:tcPr>
            <w:tcW w:w="126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296D99" w14:textId="0034C991" w:rsidR="007F3C4A" w:rsidRPr="00703EEA" w:rsidRDefault="00EB562D" w:rsidP="00227560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D7444">
              <w:rPr>
                <w:rFonts w:ascii="Times New Roman" w:hAnsi="Times New Roman" w:cs="Times New Roman"/>
                <w:sz w:val="24"/>
                <w:szCs w:val="24"/>
              </w:rPr>
              <w:t>26.652,55</w:t>
            </w:r>
          </w:p>
        </w:tc>
      </w:tr>
    </w:tbl>
    <w:p w14:paraId="260E35CE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A32E765" w14:textId="09CD4CE4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03EEA">
        <w:rPr>
          <w:rFonts w:ascii="Times New Roman" w:eastAsia="Times New Roman" w:hAnsi="Times New Roman" w:cs="Times New Roman"/>
          <w:sz w:val="24"/>
          <w:szCs w:val="24"/>
          <w:lang w:eastAsia="en-GB"/>
        </w:rPr>
        <w:t>Stanje nepodmirenih dospjelih obveza na dan 31.12.202</w:t>
      </w:r>
      <w:r w:rsidR="009C57E3">
        <w:rPr>
          <w:rFonts w:ascii="Times New Roman" w:eastAsia="Times New Roman" w:hAnsi="Times New Roman" w:cs="Times New Roman"/>
          <w:sz w:val="24"/>
          <w:szCs w:val="24"/>
          <w:lang w:eastAsia="en-GB"/>
        </w:rPr>
        <w:t>4</w:t>
      </w:r>
      <w:r w:rsidRPr="00703EE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iznosilo je </w:t>
      </w:r>
      <w:r w:rsidR="00EB562D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5D7444">
        <w:rPr>
          <w:rFonts w:ascii="Times New Roman" w:eastAsia="Times New Roman" w:hAnsi="Times New Roman" w:cs="Times New Roman"/>
          <w:sz w:val="24"/>
          <w:szCs w:val="24"/>
          <w:lang w:eastAsia="en-GB"/>
        </w:rPr>
        <w:t>26.652,55</w:t>
      </w:r>
      <w:r w:rsidR="00EB562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od toga </w:t>
      </w:r>
      <w:r w:rsidR="006045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međusobne obveze subjekata općeg proračuna </w:t>
      </w:r>
      <w:r w:rsidR="005D7444">
        <w:rPr>
          <w:rFonts w:ascii="Times New Roman" w:eastAsia="Times New Roman" w:hAnsi="Times New Roman" w:cs="Times New Roman"/>
          <w:sz w:val="24"/>
          <w:szCs w:val="24"/>
          <w:lang w:eastAsia="en-GB"/>
        </w:rPr>
        <w:t>32.271,54</w:t>
      </w:r>
      <w:r w:rsidR="006045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EUR, obveze za rashode poslovanja </w:t>
      </w:r>
      <w:r w:rsidR="005D7444">
        <w:rPr>
          <w:rFonts w:ascii="Times New Roman" w:eastAsia="Times New Roman" w:hAnsi="Times New Roman" w:cs="Times New Roman"/>
          <w:sz w:val="24"/>
          <w:szCs w:val="24"/>
          <w:lang w:eastAsia="en-GB"/>
        </w:rPr>
        <w:t>293.727,37</w:t>
      </w:r>
      <w:r w:rsidR="006045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 te obveze za nabavu nefinancijske imovine </w:t>
      </w:r>
      <w:r w:rsidR="005D7444">
        <w:rPr>
          <w:rFonts w:ascii="Times New Roman" w:eastAsia="Times New Roman" w:hAnsi="Times New Roman" w:cs="Times New Roman"/>
          <w:sz w:val="24"/>
          <w:szCs w:val="24"/>
          <w:lang w:eastAsia="en-GB"/>
        </w:rPr>
        <w:t>653,64</w:t>
      </w:r>
      <w:r w:rsidR="006045A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EUR.</w:t>
      </w:r>
    </w:p>
    <w:p w14:paraId="5DE3D313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8256163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15D282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93979E6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D0660FE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C3D474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BBA3A5C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5DBB8E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0F11239" w14:textId="17F105FD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Stanje potencijalnih obveza po osnovi sudskih sporova na dan 31.12.202</w:t>
      </w:r>
      <w:r w:rsidR="009C57E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4</w:t>
      </w:r>
      <w:r w:rsidRPr="00703EE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.</w:t>
      </w:r>
    </w:p>
    <w:p w14:paraId="7B54F42A" w14:textId="77777777" w:rsidR="007F3C4A" w:rsidRPr="00703EEA" w:rsidRDefault="007F3C4A" w:rsidP="007F3C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2"/>
        <w:gridCol w:w="5500"/>
      </w:tblGrid>
      <w:tr w:rsidR="007F3C4A" w:rsidRPr="00703EEA" w14:paraId="3DF5A36A" w14:textId="77777777" w:rsidTr="00227560">
        <w:trPr>
          <w:trHeight w:val="367"/>
        </w:trPr>
        <w:tc>
          <w:tcPr>
            <w:tcW w:w="3562" w:type="dxa"/>
            <w:shd w:val="clear" w:color="auto" w:fill="FFFFCC"/>
            <w:noWrap/>
            <w:vAlign w:val="bottom"/>
          </w:tcPr>
          <w:p w14:paraId="0527D8D6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Sudski spor</w:t>
            </w:r>
          </w:p>
        </w:tc>
        <w:tc>
          <w:tcPr>
            <w:tcW w:w="5500" w:type="dxa"/>
            <w:shd w:val="clear" w:color="auto" w:fill="FFFFCC"/>
          </w:tcPr>
          <w:p w14:paraId="64B63AAB" w14:textId="77777777" w:rsidR="007F3C4A" w:rsidRPr="00703EEA" w:rsidRDefault="007F3C4A" w:rsidP="0022756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Iznos</w:t>
            </w:r>
          </w:p>
        </w:tc>
      </w:tr>
      <w:tr w:rsidR="007F3C4A" w:rsidRPr="00703EEA" w14:paraId="4D6136DF" w14:textId="77777777" w:rsidTr="00227560">
        <w:trPr>
          <w:trHeight w:val="176"/>
        </w:trPr>
        <w:tc>
          <w:tcPr>
            <w:tcW w:w="3562" w:type="dxa"/>
            <w:shd w:val="clear" w:color="auto" w:fill="auto"/>
            <w:noWrap/>
          </w:tcPr>
          <w:p w14:paraId="138AE590" w14:textId="77777777" w:rsidR="007F3C4A" w:rsidRPr="00703EEA" w:rsidRDefault="007F3C4A" w:rsidP="0022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Radni spor</w:t>
            </w:r>
          </w:p>
        </w:tc>
        <w:tc>
          <w:tcPr>
            <w:tcW w:w="5500" w:type="dxa"/>
          </w:tcPr>
          <w:p w14:paraId="529586CD" w14:textId="77777777" w:rsidR="007F3C4A" w:rsidRPr="00703EEA" w:rsidRDefault="007F3C4A" w:rsidP="00227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 xml:space="preserve">131.474,10 </w:t>
            </w:r>
          </w:p>
        </w:tc>
      </w:tr>
      <w:tr w:rsidR="007F3C4A" w:rsidRPr="00703EEA" w14:paraId="75B2839C" w14:textId="77777777" w:rsidTr="00227560">
        <w:trPr>
          <w:trHeight w:val="176"/>
        </w:trPr>
        <w:tc>
          <w:tcPr>
            <w:tcW w:w="3562" w:type="dxa"/>
            <w:shd w:val="clear" w:color="auto" w:fill="auto"/>
            <w:noWrap/>
          </w:tcPr>
          <w:p w14:paraId="2582DF08" w14:textId="77777777" w:rsidR="007F3C4A" w:rsidRPr="00703EEA" w:rsidRDefault="007F3C4A" w:rsidP="0022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Tužba za 6% povećanja osnovice</w:t>
            </w:r>
          </w:p>
        </w:tc>
        <w:tc>
          <w:tcPr>
            <w:tcW w:w="5500" w:type="dxa"/>
          </w:tcPr>
          <w:p w14:paraId="28B2FD77" w14:textId="66EA36CC" w:rsidR="007F3C4A" w:rsidRPr="00703EEA" w:rsidRDefault="007F3C4A" w:rsidP="0022756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343D69">
              <w:rPr>
                <w:rFonts w:ascii="Times New Roman" w:hAnsi="Times New Roman" w:cs="Times New Roman"/>
                <w:sz w:val="24"/>
                <w:szCs w:val="24"/>
              </w:rPr>
              <w:t>19,86</w:t>
            </w:r>
            <w:r w:rsidRPr="00703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F3C4A" w:rsidRPr="00703EEA" w14:paraId="6CCC8617" w14:textId="77777777" w:rsidTr="00227560">
        <w:trPr>
          <w:trHeight w:val="176"/>
        </w:trPr>
        <w:tc>
          <w:tcPr>
            <w:tcW w:w="3562" w:type="dxa"/>
            <w:tcBorders>
              <w:bottom w:val="single" w:sz="4" w:space="0" w:color="auto"/>
            </w:tcBorders>
            <w:shd w:val="clear" w:color="auto" w:fill="FFFFCC"/>
            <w:noWrap/>
            <w:vAlign w:val="bottom"/>
          </w:tcPr>
          <w:p w14:paraId="1C87BB58" w14:textId="77777777" w:rsidR="007F3C4A" w:rsidRPr="00703EEA" w:rsidRDefault="007F3C4A" w:rsidP="00227560">
            <w:pPr>
              <w:spacing w:before="60" w:after="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E2AD8D1" w14:textId="58876E2C" w:rsidR="007F3C4A" w:rsidRPr="00703EEA" w:rsidRDefault="007F3C4A" w:rsidP="00227560">
            <w:pPr>
              <w:spacing w:before="60" w:after="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3E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3D69">
              <w:rPr>
                <w:rFonts w:ascii="Times New Roman" w:hAnsi="Times New Roman" w:cs="Times New Roman"/>
                <w:b/>
                <w:sz w:val="24"/>
                <w:szCs w:val="24"/>
              </w:rPr>
              <w:t>32.893,96</w:t>
            </w:r>
          </w:p>
        </w:tc>
      </w:tr>
    </w:tbl>
    <w:p w14:paraId="7D411B16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90936" w14:textId="77777777" w:rsidR="007F3C4A" w:rsidRPr="00703EEA" w:rsidRDefault="007F3C4A" w:rsidP="007F3C4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03EEA">
        <w:rPr>
          <w:rFonts w:ascii="Times New Roman" w:hAnsi="Times New Roman" w:cs="Times New Roman"/>
          <w:sz w:val="24"/>
          <w:szCs w:val="24"/>
        </w:rPr>
        <w:t>Na navedene iznose evidentirati će se i troškovi zateznih kamata i troškovi postupka.</w:t>
      </w:r>
    </w:p>
    <w:p w14:paraId="47E82AF1" w14:textId="42ECB8F2" w:rsidR="007F3C4A" w:rsidRDefault="007F3C4A" w:rsidP="007F3C4A">
      <w:pPr>
        <w:rPr>
          <w:rFonts w:ascii="Times New Roman" w:hAnsi="Times New Roman" w:cs="Times New Roman"/>
          <w:sz w:val="24"/>
          <w:szCs w:val="24"/>
        </w:rPr>
      </w:pPr>
    </w:p>
    <w:p w14:paraId="0E7FF768" w14:textId="5E42FBF0" w:rsidR="006A7BD0" w:rsidRDefault="006A7BD0" w:rsidP="007F3C4A">
      <w:pPr>
        <w:rPr>
          <w:rFonts w:ascii="Times New Roman" w:hAnsi="Times New Roman" w:cs="Times New Roman"/>
          <w:sz w:val="24"/>
          <w:szCs w:val="24"/>
        </w:rPr>
      </w:pPr>
    </w:p>
    <w:p w14:paraId="4AC81801" w14:textId="490E207E" w:rsidR="006A7BD0" w:rsidRDefault="006A7BD0" w:rsidP="007F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Dekan</w:t>
      </w:r>
    </w:p>
    <w:p w14:paraId="7B6A8DD5" w14:textId="41D02661" w:rsidR="006A7BD0" w:rsidRDefault="006A7BD0" w:rsidP="007F3C4A">
      <w:pPr>
        <w:rPr>
          <w:rFonts w:ascii="Times New Roman" w:hAnsi="Times New Roman" w:cs="Times New Roman"/>
          <w:sz w:val="24"/>
          <w:szCs w:val="24"/>
        </w:rPr>
      </w:pPr>
    </w:p>
    <w:p w14:paraId="695D36C5" w14:textId="2A4AF156" w:rsidR="006A7BD0" w:rsidRPr="00703EEA" w:rsidRDefault="006A7BD0" w:rsidP="007F3C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Izv. prof. dr. sc. Mladen Bulić</w:t>
      </w:r>
    </w:p>
    <w:sectPr w:rsidR="006A7BD0" w:rsidRPr="00703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664A9"/>
    <w:multiLevelType w:val="hybridMultilevel"/>
    <w:tmpl w:val="CEC4EA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1309D"/>
    <w:multiLevelType w:val="hybridMultilevel"/>
    <w:tmpl w:val="CF160C28"/>
    <w:lvl w:ilvl="0" w:tplc="6BC49A24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14421A"/>
    <w:multiLevelType w:val="hybridMultilevel"/>
    <w:tmpl w:val="1E760938"/>
    <w:lvl w:ilvl="0" w:tplc="77CE75AE">
      <w:start w:val="9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528501C9"/>
    <w:multiLevelType w:val="multilevel"/>
    <w:tmpl w:val="43B0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0E71CE"/>
    <w:multiLevelType w:val="hybridMultilevel"/>
    <w:tmpl w:val="5A5856EE"/>
    <w:lvl w:ilvl="0" w:tplc="710C4AD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B3024"/>
    <w:multiLevelType w:val="hybridMultilevel"/>
    <w:tmpl w:val="4F76B84C"/>
    <w:lvl w:ilvl="0" w:tplc="2632BFFA">
      <w:start w:val="10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13"/>
    <w:rsid w:val="00042006"/>
    <w:rsid w:val="00157430"/>
    <w:rsid w:val="00166C3F"/>
    <w:rsid w:val="001B7B2B"/>
    <w:rsid w:val="00343D69"/>
    <w:rsid w:val="003C0DE9"/>
    <w:rsid w:val="004128C9"/>
    <w:rsid w:val="004A6413"/>
    <w:rsid w:val="004F3077"/>
    <w:rsid w:val="005C210E"/>
    <w:rsid w:val="005D7444"/>
    <w:rsid w:val="006045A5"/>
    <w:rsid w:val="006A7BD0"/>
    <w:rsid w:val="006C4BAB"/>
    <w:rsid w:val="00703EEA"/>
    <w:rsid w:val="00730274"/>
    <w:rsid w:val="00730DA4"/>
    <w:rsid w:val="00784AC6"/>
    <w:rsid w:val="007F3C4A"/>
    <w:rsid w:val="008D4FDA"/>
    <w:rsid w:val="009A32B0"/>
    <w:rsid w:val="009C57E3"/>
    <w:rsid w:val="00A40ACA"/>
    <w:rsid w:val="00BC044B"/>
    <w:rsid w:val="00BD6D88"/>
    <w:rsid w:val="00C66341"/>
    <w:rsid w:val="00D52D92"/>
    <w:rsid w:val="00D70EF4"/>
    <w:rsid w:val="00DD3C0B"/>
    <w:rsid w:val="00E17ED5"/>
    <w:rsid w:val="00EB562D"/>
    <w:rsid w:val="00ED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DD29"/>
  <w15:chartTrackingRefBased/>
  <w15:docId w15:val="{0D82C761-1E0E-4BD8-9B60-DD7F1DAF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4A6413"/>
    <w:pPr>
      <w:ind w:left="720"/>
      <w:contextualSpacing/>
    </w:pPr>
  </w:style>
  <w:style w:type="character" w:customStyle="1" w:styleId="OdlomakpopisaChar">
    <w:name w:val="Odlomak popisa Char"/>
    <w:link w:val="Odlomakpopisa"/>
    <w:uiPriority w:val="34"/>
    <w:qFormat/>
    <w:locked/>
    <w:rsid w:val="007F3C4A"/>
  </w:style>
  <w:style w:type="character" w:styleId="Naglaeno">
    <w:name w:val="Strong"/>
    <w:uiPriority w:val="22"/>
    <w:qFormat/>
    <w:rsid w:val="007F3C4A"/>
    <w:rPr>
      <w:b/>
      <w:bCs/>
    </w:rPr>
  </w:style>
  <w:style w:type="paragraph" w:styleId="StandardWeb">
    <w:name w:val="Normal (Web)"/>
    <w:basedOn w:val="Normal"/>
    <w:uiPriority w:val="99"/>
    <w:unhideWhenUsed/>
    <w:rsid w:val="007F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166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6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3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75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000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106237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9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7220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023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044899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8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6122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625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183822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854706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20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14250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564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36221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936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130523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040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537201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96194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1704406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9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160465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69382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F1F1F1"/>
                                        <w:left w:val="none" w:sz="0" w:space="0" w:color="F1F1F1"/>
                                        <w:bottom w:val="none" w:sz="0" w:space="0" w:color="F1F1F1"/>
                                        <w:right w:val="none" w:sz="0" w:space="0" w:color="F1F1F1"/>
                                      </w:divBdr>
                                      <w:divsChild>
                                        <w:div w:id="201013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5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16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53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5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98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873129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655497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260348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961566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164310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955889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97231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35879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325490">
                                      <w:marLeft w:val="150"/>
                                      <w:marRight w:val="15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225851">
                                      <w:marLeft w:val="150"/>
                                      <w:marRight w:val="15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7122550">
                                      <w:marLeft w:val="150"/>
                                      <w:marRight w:val="15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0445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580452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382553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615257">
                                      <w:marLeft w:val="180"/>
                                      <w:marRight w:val="18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1690637">
                                      <w:marLeft w:val="150"/>
                                      <w:marRight w:val="15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3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7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85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4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1794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9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45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3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6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920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8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7162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83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1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63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6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81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92928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99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41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585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75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1576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6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8985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005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55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0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6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8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2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37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2047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83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0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145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99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49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2059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37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8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dis.europa.eu/project/id/860124" TargetMode="External"/><Relationship Id="rId5" Type="http://schemas.openxmlformats.org/officeDocument/2006/relationships/hyperlink" Target="https://thread-etn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Narančast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9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Ilić-Huserik</dc:creator>
  <cp:keywords/>
  <dc:description/>
  <cp:lastModifiedBy>Nataša Ilić-Huserik</cp:lastModifiedBy>
  <cp:revision>34</cp:revision>
  <dcterms:created xsi:type="dcterms:W3CDTF">2025-03-22T08:22:00Z</dcterms:created>
  <dcterms:modified xsi:type="dcterms:W3CDTF">2025-03-31T09:52:00Z</dcterms:modified>
</cp:coreProperties>
</file>